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81A58" w14:textId="77777777" w:rsidR="00B9031A" w:rsidRPr="00B9031A" w:rsidRDefault="00B9031A" w:rsidP="00B9031A">
      <w:pPr>
        <w:spacing w:after="0" w:line="480" w:lineRule="auto"/>
        <w:jc w:val="center"/>
        <w:outlineLvl w:val="0"/>
        <w:rPr>
          <w:rFonts w:ascii="Times New Roman" w:eastAsia="Aptos" w:hAnsi="Times New Roman" w:cs="Times New Roman"/>
          <w:b/>
          <w:bCs/>
          <w:lang w:bidi="th-TH"/>
        </w:rPr>
      </w:pPr>
      <w:bookmarkStart w:id="0" w:name="_Toc204802350"/>
      <w:bookmarkStart w:id="1" w:name="_Toc208469574"/>
      <w:bookmarkStart w:id="2" w:name="_Toc208469858"/>
      <w:r w:rsidRPr="00B9031A">
        <w:rPr>
          <w:rFonts w:ascii="Times New Roman" w:eastAsia="Aptos" w:hAnsi="Times New Roman" w:cs="Times New Roman"/>
          <w:b/>
          <w:bCs/>
          <w:lang w:bidi="th-TH"/>
        </w:rPr>
        <w:t>BAB II</w:t>
      </w:r>
      <w:r w:rsidRPr="00B9031A">
        <w:rPr>
          <w:rFonts w:ascii="Times New Roman" w:eastAsia="Aptos" w:hAnsi="Times New Roman" w:cs="Times New Roman"/>
          <w:b/>
          <w:bCs/>
          <w:lang w:bidi="th-TH"/>
        </w:rPr>
        <w:br/>
        <w:t>LANDASAN TEORI</w:t>
      </w:r>
      <w:bookmarkEnd w:id="0"/>
      <w:bookmarkEnd w:id="1"/>
      <w:bookmarkEnd w:id="2"/>
    </w:p>
    <w:p w14:paraId="2DE763E8" w14:textId="77777777" w:rsidR="00B9031A" w:rsidRPr="00B9031A" w:rsidRDefault="00B9031A" w:rsidP="00B9031A">
      <w:pPr>
        <w:numPr>
          <w:ilvl w:val="0"/>
          <w:numId w:val="5"/>
        </w:numPr>
        <w:spacing w:after="0" w:line="480" w:lineRule="auto"/>
        <w:contextualSpacing/>
        <w:outlineLvl w:val="1"/>
        <w:rPr>
          <w:rFonts w:ascii="Times New Roman" w:eastAsia="Aptos" w:hAnsi="Times New Roman" w:cs="Times New Roman"/>
          <w:b/>
          <w:bCs/>
          <w:lang w:bidi="th-TH"/>
        </w:rPr>
      </w:pPr>
      <w:bookmarkStart w:id="3" w:name="_Toc196386137"/>
      <w:bookmarkStart w:id="4" w:name="_Toc204802351"/>
      <w:bookmarkStart w:id="5" w:name="_Toc208469575"/>
      <w:bookmarkStart w:id="6" w:name="_Toc208469859"/>
      <w:r w:rsidRPr="00B9031A">
        <w:rPr>
          <w:rFonts w:ascii="Times New Roman" w:eastAsia="Aptos" w:hAnsi="Times New Roman" w:cs="Times New Roman"/>
          <w:b/>
          <w:bCs/>
          <w:lang w:bidi="th-TH"/>
        </w:rPr>
        <w:t>Kajian Teori</w:t>
      </w:r>
      <w:bookmarkEnd w:id="3"/>
      <w:bookmarkEnd w:id="4"/>
      <w:bookmarkEnd w:id="5"/>
      <w:bookmarkEnd w:id="6"/>
    </w:p>
    <w:p w14:paraId="20F08F21" w14:textId="77777777" w:rsidR="00B9031A" w:rsidRPr="00B9031A" w:rsidRDefault="00B9031A" w:rsidP="00B9031A">
      <w:pPr>
        <w:keepNext/>
        <w:keepLines/>
        <w:numPr>
          <w:ilvl w:val="0"/>
          <w:numId w:val="7"/>
        </w:numPr>
        <w:spacing w:before="160" w:after="80" w:line="259" w:lineRule="auto"/>
        <w:outlineLvl w:val="1"/>
        <w:rPr>
          <w:rFonts w:ascii="Times New Roman" w:eastAsia="DengXian Light" w:hAnsi="Times New Roman" w:cs="Angsana New"/>
          <w:color w:val="000000"/>
          <w:szCs w:val="40"/>
          <w:lang w:bidi="th-TH"/>
        </w:rPr>
      </w:pPr>
      <w:bookmarkStart w:id="7" w:name="_Toc208469576"/>
      <w:bookmarkStart w:id="8" w:name="_Toc208469860"/>
      <w:r w:rsidRPr="00B9031A">
        <w:rPr>
          <w:rFonts w:ascii="Times New Roman" w:eastAsia="DengXian Light" w:hAnsi="Times New Roman" w:cs="Angsana New"/>
          <w:color w:val="000000"/>
          <w:szCs w:val="40"/>
          <w:lang w:bidi="th-TH"/>
        </w:rPr>
        <w:t>Resistensi</w:t>
      </w:r>
      <w:bookmarkEnd w:id="7"/>
      <w:bookmarkEnd w:id="8"/>
    </w:p>
    <w:p w14:paraId="47AFA248"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val="fi-FI" w:bidi="th-TH"/>
        </w:rPr>
      </w:pPr>
      <w:r w:rsidRPr="00B9031A">
        <w:rPr>
          <w:rFonts w:ascii="Times New Roman" w:eastAsia="Aptos" w:hAnsi="Times New Roman" w:cs="Times New Roman"/>
          <w:lang w:bidi="th-TH"/>
        </w:rPr>
        <w:t xml:space="preserve">Resistensi atau seringkali bisa disebut dengan perlawanan atau melakukan pertahanan untuk bertahan, melakukan perlawanan, menentang dengan tindakan untuk menolak adanya ketidakadilan supaya bisa bertahan dari suatu penindasan dan diskriminasi. </w:t>
      </w:r>
      <w:r w:rsidRPr="00B9031A">
        <w:rPr>
          <w:rFonts w:ascii="Times New Roman" w:eastAsia="Aptos" w:hAnsi="Times New Roman" w:cs="Times New Roman"/>
          <w:lang w:val="fi-FI" w:bidi="th-TH"/>
        </w:rPr>
        <w:t>Pada tahun 1980 resistensi telah berkembang dan mendalami peristiwa yang bisa diamati secara pengalaman. Menurut para ahli sosial resistensi mempunyai aspek budaya, karena lahirnya resistensi terpusat dalam fenomena yang sering terlihat dalam kehidupan masyarakat dengan peristiwa yang terjadi. Oleh karena itu resistensi atau perlawanan merupakan sebuah kekuatan yang digunakan untuk bertahan, juga sikap yang mengusahakan perlawanan dan menentang pada kekuatan yang lain dalam kelas sosial yang sedang berkuasa atas Masyarakat (Dayati, L. D. 2011).</w:t>
      </w:r>
    </w:p>
    <w:p w14:paraId="37F16DF6"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val="fi-FI" w:bidi="th-TH"/>
        </w:rPr>
      </w:pPr>
      <w:r w:rsidRPr="00B9031A">
        <w:rPr>
          <w:rFonts w:ascii="Times New Roman" w:eastAsia="Aptos" w:hAnsi="Times New Roman" w:cs="Times New Roman"/>
          <w:lang w:val="fi-FI" w:bidi="th-TH"/>
        </w:rPr>
        <w:t>James C. Scott mempunyai pendapat bahwa resistensi berpusat dari bentuk-bentuk perlawanan yang benar adanya dan banyak terjadi di lingkungan kehidupan masyarakat sehari-hari yang diperlihatkan secara nyata hingga lahir pertanyaan bagaimana bentuk perlawanan kaum minoritas lemah adalah mereka yang tidak mempunyai kekuatan untuk melakukan penolakan terbuka, hal tersebut membentuk resitensi yang terbagi menjadi dua bagian yaitu:</w:t>
      </w:r>
    </w:p>
    <w:p w14:paraId="44144CFC" w14:textId="77777777" w:rsidR="00B9031A" w:rsidRPr="00B9031A" w:rsidRDefault="00B9031A" w:rsidP="00B9031A">
      <w:pPr>
        <w:numPr>
          <w:ilvl w:val="0"/>
          <w:numId w:val="2"/>
        </w:numPr>
        <w:spacing w:after="0" w:line="480" w:lineRule="auto"/>
        <w:contextualSpacing/>
        <w:jc w:val="both"/>
        <w:rPr>
          <w:rFonts w:ascii="Times New Roman" w:eastAsia="Aptos" w:hAnsi="Times New Roman" w:cs="Times New Roman"/>
          <w:lang w:val="fi-FI" w:bidi="th-TH"/>
        </w:rPr>
      </w:pPr>
      <w:r w:rsidRPr="00B9031A">
        <w:rPr>
          <w:rFonts w:ascii="Times New Roman" w:eastAsia="Aptos" w:hAnsi="Times New Roman" w:cs="Times New Roman"/>
          <w:lang w:val="fi-FI" w:bidi="th-TH"/>
        </w:rPr>
        <w:lastRenderedPageBreak/>
        <w:t>Resistensi Semi Terbuka</w:t>
      </w:r>
    </w:p>
    <w:p w14:paraId="59DA387C" w14:textId="77777777" w:rsidR="00B9031A" w:rsidRPr="00B9031A" w:rsidRDefault="00B9031A" w:rsidP="00B9031A">
      <w:pPr>
        <w:spacing w:after="0" w:line="480" w:lineRule="auto"/>
        <w:ind w:left="1077"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Resistensi semi terbuka adalah resistensi yang biasanya dilakukan dengan melibatkan pihak ketiga dalam proses penyelesaiannya, misalnya dengan mengadukan kepada pihak yang berwenang</w:t>
      </w:r>
    </w:p>
    <w:p w14:paraId="23B5DE31" w14:textId="77777777" w:rsidR="00B9031A" w:rsidRPr="00B9031A" w:rsidRDefault="00B9031A" w:rsidP="00B9031A">
      <w:pPr>
        <w:numPr>
          <w:ilvl w:val="0"/>
          <w:numId w:val="2"/>
        </w:numPr>
        <w:spacing w:after="0" w:line="480" w:lineRule="auto"/>
        <w:contextualSpacing/>
        <w:jc w:val="both"/>
        <w:rPr>
          <w:rFonts w:ascii="Times New Roman" w:eastAsia="Aptos" w:hAnsi="Times New Roman" w:cs="Times New Roman"/>
          <w:lang w:val="fi-FI" w:bidi="th-TH"/>
        </w:rPr>
      </w:pPr>
      <w:r w:rsidRPr="00B9031A">
        <w:rPr>
          <w:rFonts w:ascii="Times New Roman" w:eastAsia="Aptos" w:hAnsi="Times New Roman" w:cs="Times New Roman"/>
          <w:lang w:val="fi-FI" w:bidi="th-TH"/>
        </w:rPr>
        <w:t>Resistensi Semi Tertutup</w:t>
      </w:r>
    </w:p>
    <w:p w14:paraId="1319BBEB" w14:textId="77777777" w:rsidR="00B9031A" w:rsidRPr="00B9031A" w:rsidRDefault="00B9031A" w:rsidP="00B9031A">
      <w:pPr>
        <w:spacing w:after="0" w:line="480" w:lineRule="auto"/>
        <w:ind w:left="1077" w:firstLine="720"/>
        <w:contextualSpacing/>
        <w:jc w:val="both"/>
        <w:rPr>
          <w:rFonts w:ascii="Times New Roman" w:eastAsia="Aptos" w:hAnsi="Times New Roman" w:cs="Times New Roman"/>
          <w:lang w:val="fi-FI" w:bidi="th-TH"/>
        </w:rPr>
      </w:pPr>
      <w:r w:rsidRPr="00B9031A">
        <w:rPr>
          <w:rFonts w:ascii="Times New Roman" w:eastAsia="Aptos" w:hAnsi="Times New Roman" w:cs="Times New Roman"/>
          <w:lang w:bidi="th-TH"/>
        </w:rPr>
        <w:t>Resistensi semi tertutup adalah bentuk perlawanan yang diekspresikan melalui simbol, kode budaya, maupun tindakan sehari-hari yang tidak secara eksplisit menentang otoritas, tetapi dapat dikenali sebagai kritik atau bentuk oposisi. Posisi semi tertutup ini berada di antara resistensi yang bersifat frontal dan resistensi tertutup yang sepenuhnya tersembunyi.</w:t>
      </w:r>
    </w:p>
    <w:p w14:paraId="5D4AF019" w14:textId="77777777" w:rsidR="00B9031A" w:rsidRPr="00B9031A" w:rsidRDefault="00B9031A" w:rsidP="00B9031A">
      <w:pPr>
        <w:numPr>
          <w:ilvl w:val="0"/>
          <w:numId w:val="2"/>
        </w:numPr>
        <w:spacing w:after="0" w:line="480" w:lineRule="auto"/>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Resistensi Terbuka (</w:t>
      </w:r>
      <w:r w:rsidRPr="00B9031A">
        <w:rPr>
          <w:rFonts w:ascii="Times New Roman" w:eastAsia="Aptos" w:hAnsi="Times New Roman" w:cs="Times New Roman"/>
          <w:i/>
          <w:iCs/>
          <w:lang w:bidi="th-TH"/>
        </w:rPr>
        <w:t>Public Transcript</w:t>
      </w:r>
      <w:r w:rsidRPr="00B9031A">
        <w:rPr>
          <w:rFonts w:ascii="Times New Roman" w:eastAsia="Aptos" w:hAnsi="Times New Roman" w:cs="Times New Roman"/>
          <w:lang w:bidi="th-TH"/>
        </w:rPr>
        <w:t xml:space="preserve">) </w:t>
      </w:r>
    </w:p>
    <w:p w14:paraId="1EE9E519" w14:textId="77777777" w:rsidR="00B9031A" w:rsidRPr="00B9031A" w:rsidRDefault="00B9031A" w:rsidP="00B9031A">
      <w:pPr>
        <w:spacing w:after="0" w:line="480" w:lineRule="auto"/>
        <w:ind w:left="1077"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Resistensi terbuka (</w:t>
      </w:r>
      <w:r w:rsidRPr="00B9031A">
        <w:rPr>
          <w:rFonts w:ascii="Times New Roman" w:eastAsia="Aptos" w:hAnsi="Times New Roman" w:cs="Times New Roman"/>
          <w:i/>
          <w:iCs/>
          <w:lang w:bidi="th-TH"/>
        </w:rPr>
        <w:t>public transcript</w:t>
      </w:r>
      <w:r w:rsidRPr="00B9031A">
        <w:rPr>
          <w:rFonts w:ascii="Times New Roman" w:eastAsia="Aptos" w:hAnsi="Times New Roman" w:cs="Times New Roman"/>
          <w:lang w:bidi="th-TH"/>
        </w:rPr>
        <w:t xml:space="preserve">) merupakan jenis perlawanan yang nyata, bisa diamati, dan secara langsung akan terjadi suatu interaksi antara pihak yang sedang ada perselisihan. Resistensi terbuka juga salah satu bentuk dari perlawanan yang diketahui dengan munculnya tindakan yang berasal dari komunikasi langsung antara kelas atas (kaum penguasa) dengan kelas bawah (kaum yang lemah). Contoh dari perlawanan terbuka yaitu pemberontakan secara umum, seperti demonstrasi dan protes (Maghfiroh, D. L., &amp; Zawwi, 2020). </w:t>
      </w:r>
    </w:p>
    <w:p w14:paraId="0E06A6C8" w14:textId="77777777" w:rsidR="00B9031A" w:rsidRPr="00B9031A" w:rsidRDefault="00B9031A" w:rsidP="00B9031A">
      <w:pPr>
        <w:spacing w:after="0" w:line="480" w:lineRule="auto"/>
        <w:ind w:left="1077" w:firstLine="720"/>
        <w:contextualSpacing/>
        <w:jc w:val="both"/>
        <w:rPr>
          <w:rFonts w:ascii="Times New Roman" w:eastAsia="Aptos" w:hAnsi="Times New Roman" w:cs="Times New Roman"/>
          <w:lang w:val="fi-FI" w:bidi="th-TH"/>
        </w:rPr>
      </w:pPr>
      <w:r w:rsidRPr="00B9031A">
        <w:rPr>
          <w:rFonts w:ascii="Times New Roman" w:eastAsia="Aptos" w:hAnsi="Times New Roman" w:cs="Times New Roman"/>
          <w:lang w:val="fi-FI" w:bidi="th-TH"/>
        </w:rPr>
        <w:lastRenderedPageBreak/>
        <w:t>James C. Scott mengelompokkan empat karakteristik yang menjadi landasan utama untuk menunjukkan adanya perlawanan terbuka diantaranya:</w:t>
      </w:r>
    </w:p>
    <w:p w14:paraId="30391110" w14:textId="77777777" w:rsidR="00B9031A" w:rsidRPr="00B9031A" w:rsidRDefault="00B9031A" w:rsidP="00B9031A">
      <w:pPr>
        <w:numPr>
          <w:ilvl w:val="0"/>
          <w:numId w:val="3"/>
        </w:numPr>
        <w:spacing w:after="0" w:line="480" w:lineRule="auto"/>
        <w:contextualSpacing/>
        <w:jc w:val="both"/>
        <w:rPr>
          <w:rFonts w:ascii="Times New Roman" w:eastAsia="Aptos" w:hAnsi="Times New Roman" w:cs="Times New Roman"/>
          <w:lang w:val="fi-FI" w:bidi="th-TH"/>
        </w:rPr>
      </w:pPr>
      <w:r w:rsidRPr="00B9031A">
        <w:rPr>
          <w:rFonts w:ascii="Times New Roman" w:eastAsia="Aptos" w:hAnsi="Times New Roman" w:cs="Times New Roman"/>
          <w:lang w:val="fi-FI" w:bidi="th-TH"/>
        </w:rPr>
        <w:t>Perlawanan yang terorganisir antara satu pihak dengan pihak yang lain, dan juga saling bekerja sama.</w:t>
      </w:r>
    </w:p>
    <w:p w14:paraId="18505474" w14:textId="77777777" w:rsidR="00B9031A" w:rsidRPr="00B9031A" w:rsidRDefault="00B9031A" w:rsidP="00B9031A">
      <w:pPr>
        <w:numPr>
          <w:ilvl w:val="0"/>
          <w:numId w:val="3"/>
        </w:numPr>
        <w:spacing w:after="0" w:line="480" w:lineRule="auto"/>
        <w:contextualSpacing/>
        <w:jc w:val="both"/>
        <w:rPr>
          <w:rFonts w:ascii="Times New Roman" w:eastAsia="Aptos" w:hAnsi="Times New Roman" w:cs="Times New Roman"/>
          <w:lang w:val="fi-FI" w:bidi="th-TH"/>
        </w:rPr>
      </w:pPr>
      <w:r w:rsidRPr="00B9031A">
        <w:rPr>
          <w:rFonts w:ascii="Times New Roman" w:eastAsia="Aptos" w:hAnsi="Times New Roman" w:cs="Times New Roman"/>
          <w:lang w:val="fi-FI" w:bidi="th-TH"/>
        </w:rPr>
        <w:t>Dampak perubahan dalam pergerakan yang dapat berpengaruh kepada kehidupan manusia.</w:t>
      </w:r>
    </w:p>
    <w:p w14:paraId="5CC49E1C" w14:textId="77777777" w:rsidR="00B9031A" w:rsidRPr="00B9031A" w:rsidRDefault="00B9031A" w:rsidP="00B9031A">
      <w:pPr>
        <w:numPr>
          <w:ilvl w:val="0"/>
          <w:numId w:val="3"/>
        </w:numPr>
        <w:spacing w:after="0" w:line="480" w:lineRule="auto"/>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Adanya sifat rasional dengan arti perlawanan yang dilakukan dengan fokus pada kepentingan banyak orang.</w:t>
      </w:r>
    </w:p>
    <w:p w14:paraId="7DF28C4F" w14:textId="77777777" w:rsidR="00B9031A" w:rsidRPr="00B9031A" w:rsidRDefault="00B9031A" w:rsidP="00B9031A">
      <w:pPr>
        <w:numPr>
          <w:ilvl w:val="0"/>
          <w:numId w:val="3"/>
        </w:numPr>
        <w:spacing w:after="0" w:line="480" w:lineRule="auto"/>
        <w:contextualSpacing/>
        <w:jc w:val="both"/>
        <w:rPr>
          <w:rFonts w:ascii="Times New Roman" w:eastAsia="Aptos" w:hAnsi="Times New Roman" w:cs="Times New Roman"/>
          <w:lang w:val="fi-FI" w:bidi="th-TH"/>
        </w:rPr>
      </w:pPr>
      <w:r w:rsidRPr="00B9031A">
        <w:rPr>
          <w:rFonts w:ascii="Times New Roman" w:eastAsia="Aptos" w:hAnsi="Times New Roman" w:cs="Times New Roman"/>
          <w:lang w:val="fi-FI" w:bidi="th-TH"/>
        </w:rPr>
        <w:t>Tujuan untuk menghapuskan suatu tindakan dominasi dan penindasan dari kaum penguasa.</w:t>
      </w:r>
    </w:p>
    <w:p w14:paraId="5CFDA15E" w14:textId="77777777" w:rsidR="00B9031A" w:rsidRPr="00B9031A" w:rsidRDefault="00B9031A" w:rsidP="00B9031A">
      <w:pPr>
        <w:spacing w:after="0" w:line="480" w:lineRule="auto"/>
        <w:ind w:left="1077" w:firstLine="720"/>
        <w:jc w:val="both"/>
        <w:rPr>
          <w:rFonts w:ascii="Times New Roman" w:eastAsia="Aptos" w:hAnsi="Times New Roman" w:cs="Times New Roman"/>
          <w:lang w:val="fi-FI" w:bidi="th-TH"/>
        </w:rPr>
      </w:pPr>
      <w:r w:rsidRPr="00B9031A">
        <w:rPr>
          <w:rFonts w:ascii="Times New Roman" w:eastAsia="Aptos" w:hAnsi="Times New Roman" w:cs="Times New Roman"/>
          <w:lang w:val="fi-FI" w:bidi="th-TH"/>
        </w:rPr>
        <w:t>Pada kesimpulannya, resistensi terbuka fokus pada gerakan yang dilakukan dengan cara yang terarah atau sistematis melalui kesepakatan yang dilakukan antara penguasa dengan pihak yang melakukan perlawanan.</w:t>
      </w:r>
    </w:p>
    <w:p w14:paraId="092477EE" w14:textId="77777777" w:rsidR="00B9031A" w:rsidRPr="00B9031A" w:rsidRDefault="00B9031A" w:rsidP="00B9031A">
      <w:pPr>
        <w:numPr>
          <w:ilvl w:val="0"/>
          <w:numId w:val="2"/>
        </w:numPr>
        <w:spacing w:after="0" w:line="480" w:lineRule="auto"/>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Resitensi tertutup (</w:t>
      </w:r>
      <w:r w:rsidRPr="00B9031A">
        <w:rPr>
          <w:rFonts w:ascii="Times New Roman" w:eastAsia="Aptos" w:hAnsi="Times New Roman" w:cs="Times New Roman"/>
          <w:i/>
          <w:iCs/>
          <w:lang w:bidi="th-TH"/>
        </w:rPr>
        <w:t>hidden transcript</w:t>
      </w:r>
      <w:r w:rsidRPr="00B9031A">
        <w:rPr>
          <w:rFonts w:ascii="Times New Roman" w:eastAsia="Aptos" w:hAnsi="Times New Roman" w:cs="Times New Roman"/>
          <w:lang w:bidi="th-TH"/>
        </w:rPr>
        <w:t>)</w:t>
      </w:r>
    </w:p>
    <w:p w14:paraId="5719A4B3" w14:textId="77777777" w:rsidR="00B9031A" w:rsidRPr="00B9031A" w:rsidRDefault="00B9031A" w:rsidP="00B9031A">
      <w:pPr>
        <w:spacing w:after="0" w:line="480" w:lineRule="auto"/>
        <w:ind w:left="1077"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Resistensi tertutup (</w:t>
      </w:r>
      <w:r w:rsidRPr="00B9031A">
        <w:rPr>
          <w:rFonts w:ascii="Times New Roman" w:eastAsia="Aptos" w:hAnsi="Times New Roman" w:cs="Times New Roman"/>
          <w:i/>
          <w:iCs/>
          <w:lang w:bidi="th-TH"/>
        </w:rPr>
        <w:t>hidden transcript</w:t>
      </w:r>
      <w:r w:rsidRPr="00B9031A">
        <w:rPr>
          <w:rFonts w:ascii="Times New Roman" w:eastAsia="Aptos" w:hAnsi="Times New Roman" w:cs="Times New Roman"/>
          <w:lang w:bidi="th-TH"/>
        </w:rPr>
        <w:t xml:space="preserve">) merupakan salah satu bentuk dari perlawanan yang dilakukan oleh seseorang melalui metode yang cenderung kurang masuk akal. Perlawanan tertutup lebih mengarah pada gerakan penolakan yang dilakukan secara perlahan dengan pertimbangan pada suatu bentuk-bentuk perlawanannya, tujuan yang ingin diraih dan penentuan sikap pribadi di dalam menciptakan sesuai keinginan dan kemampuan untuk perlawanan. </w:t>
      </w:r>
    </w:p>
    <w:p w14:paraId="0DD04C8F" w14:textId="77777777" w:rsidR="00B9031A" w:rsidRPr="00B9031A" w:rsidRDefault="00B9031A" w:rsidP="00B9031A">
      <w:pPr>
        <w:spacing w:after="0" w:line="480" w:lineRule="auto"/>
        <w:ind w:left="1077"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lastRenderedPageBreak/>
        <w:t xml:space="preserve">James C. Scott mengelompokkan beberapa karakteristik yang menjadi landasan utama untuk menunjukkan adanya perlawanan tertutup diantaranya: </w:t>
      </w:r>
    </w:p>
    <w:p w14:paraId="0B15C226" w14:textId="77777777" w:rsidR="00B9031A" w:rsidRPr="00B9031A" w:rsidRDefault="00B9031A" w:rsidP="00B9031A">
      <w:pPr>
        <w:numPr>
          <w:ilvl w:val="0"/>
          <w:numId w:val="4"/>
        </w:numPr>
        <w:spacing w:after="0" w:line="480" w:lineRule="auto"/>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Tidak terorganisir.</w:t>
      </w:r>
    </w:p>
    <w:p w14:paraId="5CC5E81F" w14:textId="77777777" w:rsidR="00B9031A" w:rsidRPr="00B9031A" w:rsidRDefault="00B9031A" w:rsidP="00B9031A">
      <w:pPr>
        <w:numPr>
          <w:ilvl w:val="0"/>
          <w:numId w:val="4"/>
        </w:numPr>
        <w:spacing w:after="0" w:line="480" w:lineRule="auto"/>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Tidak sistematis.</w:t>
      </w:r>
    </w:p>
    <w:p w14:paraId="2F66CF92" w14:textId="77777777" w:rsidR="00B9031A" w:rsidRPr="00B9031A" w:rsidRDefault="00B9031A" w:rsidP="00B9031A">
      <w:pPr>
        <w:numPr>
          <w:ilvl w:val="0"/>
          <w:numId w:val="4"/>
        </w:numPr>
        <w:spacing w:after="0" w:line="480" w:lineRule="auto"/>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 xml:space="preserve">Bersifat individual (mempunyai tujuan untuk mencapai keuntungan dengan fokus pada kepentingan pribadi). </w:t>
      </w:r>
    </w:p>
    <w:p w14:paraId="1635D382" w14:textId="77777777" w:rsidR="00B9031A" w:rsidRPr="00B9031A" w:rsidRDefault="00B9031A" w:rsidP="00B9031A">
      <w:pPr>
        <w:numPr>
          <w:ilvl w:val="0"/>
          <w:numId w:val="4"/>
        </w:numPr>
        <w:spacing w:after="0" w:line="480" w:lineRule="auto"/>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Terjadi secara teorganisir.</w:t>
      </w:r>
    </w:p>
    <w:p w14:paraId="29FFCFEF" w14:textId="77777777" w:rsidR="00B9031A" w:rsidRPr="00B9031A" w:rsidRDefault="00B9031A" w:rsidP="00B9031A">
      <w:pPr>
        <w:numPr>
          <w:ilvl w:val="0"/>
          <w:numId w:val="4"/>
        </w:numPr>
        <w:spacing w:after="0" w:line="480" w:lineRule="auto"/>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Tidak mengandung pada perubahan yang berarti bagi kebanyakan orang.</w:t>
      </w:r>
    </w:p>
    <w:p w14:paraId="55D8D605" w14:textId="77777777" w:rsidR="00B9031A" w:rsidRPr="00B9031A" w:rsidRDefault="00B9031A" w:rsidP="00B9031A">
      <w:pPr>
        <w:spacing w:after="0" w:line="480" w:lineRule="auto"/>
        <w:ind w:left="1077" w:firstLine="720"/>
        <w:jc w:val="both"/>
        <w:rPr>
          <w:rFonts w:ascii="Times New Roman" w:eastAsia="Aptos" w:hAnsi="Times New Roman" w:cs="Times New Roman"/>
          <w:lang w:bidi="th-TH"/>
        </w:rPr>
      </w:pPr>
      <w:r w:rsidRPr="00B9031A">
        <w:rPr>
          <w:rFonts w:ascii="Times New Roman" w:eastAsia="Aptos" w:hAnsi="Times New Roman" w:cs="Times New Roman"/>
          <w:lang w:bidi="th-TH"/>
        </w:rPr>
        <w:t>Resistensi yang ada korelasinya dengan perempuan bisa didefinisikan sebagai suatu sikap seorang perempuan yang menjadi korban dalam aksi mempertahankan pada hal yang dipercayainya secara benar dalam tindakan untuk dapat melawan perlakuan diskriminasi (Nugroho, 2019).</w:t>
      </w:r>
    </w:p>
    <w:p w14:paraId="7A97619E" w14:textId="77777777" w:rsidR="00B9031A" w:rsidRPr="00B9031A" w:rsidRDefault="00B9031A" w:rsidP="00B9031A">
      <w:pPr>
        <w:keepNext/>
        <w:keepLines/>
        <w:numPr>
          <w:ilvl w:val="0"/>
          <w:numId w:val="8"/>
        </w:numPr>
        <w:spacing w:before="160" w:after="80" w:line="259" w:lineRule="auto"/>
        <w:ind w:left="709" w:hanging="425"/>
        <w:outlineLvl w:val="1"/>
        <w:rPr>
          <w:rFonts w:ascii="Times New Roman" w:eastAsia="DengXian Light" w:hAnsi="Times New Roman" w:cs="Angsana New"/>
          <w:color w:val="000000"/>
          <w:szCs w:val="40"/>
          <w:lang w:bidi="th-TH"/>
        </w:rPr>
      </w:pPr>
      <w:bookmarkStart w:id="9" w:name="_Toc208469577"/>
      <w:bookmarkStart w:id="10" w:name="_Toc208469861"/>
      <w:r w:rsidRPr="00B9031A">
        <w:rPr>
          <w:rFonts w:ascii="Times New Roman" w:eastAsia="DengXian Light" w:hAnsi="Times New Roman" w:cs="Angsana New"/>
          <w:color w:val="000000"/>
          <w:szCs w:val="40"/>
          <w:lang w:bidi="th-TH"/>
        </w:rPr>
        <w:t>Perempuan</w:t>
      </w:r>
      <w:bookmarkEnd w:id="9"/>
      <w:bookmarkEnd w:id="10"/>
    </w:p>
    <w:p w14:paraId="1C88E881"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val="fi-FI" w:bidi="th-TH"/>
        </w:rPr>
      </w:pPr>
      <w:r w:rsidRPr="00B9031A">
        <w:rPr>
          <w:rFonts w:ascii="Times New Roman" w:eastAsia="Aptos" w:hAnsi="Times New Roman" w:cs="Times New Roman"/>
          <w:lang w:val="fi-FI" w:bidi="th-TH"/>
        </w:rPr>
        <w:t xml:space="preserve">Dalam media mengetahui tentang perempuan tentunya tidak terlepas dari perkara fisik dan psikis. Dari perspektif fisik berlandaskan pada struktur biologis komposisi dan perkembangan unsur-unsur kimia tubuh. Sedangkan dalam sudut pandang psikis berdasarkan pada sifat, maskulinitas, dan feminitas. Perempuan dalam konteks psikis atau gender didefinisikan sebagai sifat yang tertanam pada seseorang untuk menjadi feminim. Dalam pengertian fisik perempuan diartikan dalam salah satu jenis kelamin yang </w:t>
      </w:r>
      <w:r w:rsidRPr="00B9031A">
        <w:rPr>
          <w:rFonts w:ascii="Times New Roman" w:eastAsia="Aptos" w:hAnsi="Times New Roman" w:cs="Times New Roman"/>
          <w:lang w:val="fi-FI" w:bidi="th-TH"/>
        </w:rPr>
        <w:lastRenderedPageBreak/>
        <w:t>dibuktikan pada alat reproduksi yang berupa rahim, sel telur, dan payudara. Oleh karena itu perempuan dapat hamil, melahirkan, dan menyusui (Nofriandi &amp; Nur, 2023).</w:t>
      </w:r>
    </w:p>
    <w:p w14:paraId="4B4C6B50"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val="fi-FI" w:bidi="th-TH"/>
        </w:rPr>
      </w:pPr>
      <w:r w:rsidRPr="00B9031A">
        <w:rPr>
          <w:rFonts w:ascii="Times New Roman" w:eastAsia="Aptos" w:hAnsi="Times New Roman" w:cs="Times New Roman"/>
          <w:lang w:val="fi-FI" w:bidi="th-TH"/>
        </w:rPr>
        <w:t>Kamus Besar Bahasa Indonesia (KBBI) menyebutkan bahwa perempuan sebagai manusia yang mempunyai kelamin dengan rahim, dan mengalami menstruasi, hamil, melahirkan, sampai menyusui. Istilah perempuan diberikan kepada seseorang gadis yang sudah mencapai pada usia tertentu pada masa perkembangannya yaitu pada usia 20-40 tahun. Sedangkan seorang gadis yang masih berusia di bawah 20 tahun belum dapat dikatakan sebagai wanita dewasa akan tetapi disebut dengan anak usia belasan atau anak remaja sampai ia mencapai usia dewasa atau mencapai usia 21 tahun.</w:t>
      </w:r>
    </w:p>
    <w:p w14:paraId="4DBDBCB8"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val="fi-FI" w:bidi="th-TH"/>
        </w:rPr>
        <w:t xml:space="preserve">Perempuan sering kali menghadapi berbagai bentuk marginalisasi, subordinasi, diskriminasi, kekerasan, dan stereotipe dalam kehidupan sosial. Namun, seiring dengan perkembangan zaman, telah terjadi perubahan ke arah persamaan dan kesejajaran peran antara laki-laki dan perempuan. Dalam sektor publik, perempuan menunjukkan konsistensi dalam menjalankan perannya, meskipun menghadapi keterbatasan. </w:t>
      </w:r>
      <w:r w:rsidRPr="00B9031A">
        <w:rPr>
          <w:rFonts w:ascii="Times New Roman" w:eastAsia="Aptos" w:hAnsi="Times New Roman" w:cs="Times New Roman"/>
          <w:lang w:bidi="th-TH"/>
        </w:rPr>
        <w:t>Mereka cenderung mendalami peran tersebut dengan rasa ingin tahu yang besar, menegaskan pentingnya peran perempuan dalam ruang publik (Prakoso, 2020).</w:t>
      </w:r>
    </w:p>
    <w:p w14:paraId="02FDC4D3" w14:textId="77777777" w:rsidR="00B9031A" w:rsidRPr="00B9031A" w:rsidRDefault="00B9031A" w:rsidP="00B9031A">
      <w:pPr>
        <w:keepNext/>
        <w:keepLines/>
        <w:numPr>
          <w:ilvl w:val="0"/>
          <w:numId w:val="9"/>
        </w:numPr>
        <w:spacing w:before="160" w:after="80" w:line="259" w:lineRule="auto"/>
        <w:ind w:left="709" w:hanging="425"/>
        <w:outlineLvl w:val="1"/>
        <w:rPr>
          <w:rFonts w:ascii="Times New Roman" w:eastAsia="DengXian Light" w:hAnsi="Times New Roman" w:cs="Angsana New"/>
          <w:color w:val="000000"/>
          <w:szCs w:val="40"/>
          <w:lang w:bidi="th-TH"/>
        </w:rPr>
      </w:pPr>
      <w:bookmarkStart w:id="11" w:name="_Toc208469578"/>
      <w:bookmarkStart w:id="12" w:name="_Toc208469862"/>
      <w:r w:rsidRPr="00B9031A">
        <w:rPr>
          <w:rFonts w:ascii="Times New Roman" w:eastAsia="DengXian Light" w:hAnsi="Times New Roman" w:cs="Angsana New"/>
          <w:color w:val="000000"/>
          <w:szCs w:val="40"/>
          <w:lang w:bidi="th-TH"/>
        </w:rPr>
        <w:lastRenderedPageBreak/>
        <w:t>Film</w:t>
      </w:r>
      <w:bookmarkEnd w:id="11"/>
      <w:bookmarkEnd w:id="12"/>
    </w:p>
    <w:p w14:paraId="5C748E4B"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 xml:space="preserve">Film merupakan media komunikasi media yang mempunyai sifat audio dan visual guna menyampaikan suatu pesan kepada suatu kelompok orang yang berkumpul pada suatu tempat tertentu. Bentuk komunikasi massa juga termasuk di dalam film karena dianggap mempunyai pengaruh yang luar biasa kepada massa yang menjadi targetnya, hal tersebut dikarenakan sifat film yang mencakup audio dan juga visual, film dapat menuturkan cerita yang banyak pada waktu yang cukup pendek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bidi="th-TH"/>
        </w:rPr>
        <w:instrText>ADDIN CSL_CITATION {"citationItems":[{"id":"ITEM-1","itemData":{"author":[{"dropping-particle":"","family":"Nurudin","given":"","non-dropping-particle":"","parse-names":false,"suffix":""}],"id":"ITEM-1","issued":{"date-parts":[["2015"]]},"publisher":"Rajawali Press","publisher-place":"Jakarta","title":"Pengantar Komunikasi Massa","type":"book"},"uris":["http://www.mendeley.com/documents/?uuid=6e2478f1-057c-459b-a840-145f54879cff"]}],"mendeley":{"formattedCitation":"(Nurudin, 2015)","plainTextFormattedCitation":"(Nurudin, 2015)","previouslyFormattedCitation":"(Nurudin, 2015)"},"properties":{"noteIndex":0},"schema":"https://github.com/citation-style-language/schema/raw/master/csl-citation.json"}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bidi="th-TH"/>
        </w:rPr>
        <w:t>(Nurudin, 2015)</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bidi="th-TH"/>
        </w:rPr>
        <w:t>.</w:t>
      </w:r>
    </w:p>
    <w:p w14:paraId="7E83C390"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 xml:space="preserve">Ketika menonton film, audiens seakan-akan mampu menembus ruang dan waktu yang sanggup memberikan cerita tentang kehidupan dan bahkan hal tersebut bisa memengaruhi khalayak. Banyak orang menganggap bahwa film merupakan media hiburan dan sebuah media yang bisa memberikan edukasi bagi audiens, orang yang memproduksi film, membuatnya dengan kejadian yang pernah dialami pada kejadian nyata lalu diangkat menjadi sebuah film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bidi="th-TH"/>
        </w:rPr>
        <w:instrText>ADDIN CSL_CITATION {"citationItems":[{"id":"ITEM-1","itemData":{"author":[{"dropping-particle":"","family":"Baran","given":"Stanley J.","non-dropping-particle":"","parse-names":false,"suffix":""}],"id":"ITEM-1","issued":{"date-parts":[["2012"]]},"publisher":"Erlangga","publisher-place":"Jakarta","title":"Pengantar Komunikasi Massa Melek Media dan Budaya","type":"book"},"uris":["http://www.mendeley.com/documents/?uuid=666e4393-e7e0-49d0-b725-bc68ae88364e"]}],"mendeley":{"formattedCitation":"(Baran, 2012)","plainTextFormattedCitation":"(Baran, 2012)","previouslyFormattedCitation":"(Baran, 2012)"},"properties":{"noteIndex":0},"schema":"https://github.com/citation-style-language/schema/raw/master/csl-citation.json"}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bidi="th-TH"/>
        </w:rPr>
        <w:t>(Baran, 2012)</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bidi="th-TH"/>
        </w:rPr>
        <w:t xml:space="preserve">. </w:t>
      </w:r>
    </w:p>
    <w:p w14:paraId="1FF266DF"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 xml:space="preserve">Film selalu menangkap kenyataan yang timbul dan sedang berkembang di suatu masyarakat yang kemudian diproyeksikan dalam sebuah layar. Dan mempunyai ketangkasan yang efektif dalam memengaruhi banyak aspek sosial dengan melahirkan kepercayaan kepada para ahli, di mana film memiliki kekuatan yang cukup besar dalam memengaruhi masyarakat yang menontonnya. Film bisa memengaruhi dan menjadikan masyarakat terbawa ke dalam informasi yang ada di sisi sebaliknya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bidi="th-TH"/>
        </w:rPr>
        <w:instrText>ADDIN CSL_CITATION {"citationItems":[{"id":"ITEM-1","itemData":{"author":[{"dropping-particle":"","family":"Khrisna","given":"Sen","non-dropping-particle":"","parse-names":false,"suffix":""}],"id":"ITEM-1","issued":{"date-parts":[["2009"]]},"publisher":"Ombak","publisher-place":"Yogyakarta","title":"Kuasa Dalam Sinema : Negara Masyarakat Dan Sinema Orde Baru","type":"book"},"uris":["http://www.mendeley.com/documents/?uuid=caa563f8-5772-488b-9759-d711ef28518d"]}],"mendeley":{"formattedCitation":"(Khrisna, 2009)","plainTextFormattedCitation":"(Khrisna, 2009)","previouslyFormattedCitation":"(Khrisna, 2009)"},"properties":{"noteIndex":0},"schema":"https://github.com/citation-style-language/schema/raw/master/csl-citation.json"}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bidi="th-TH"/>
        </w:rPr>
        <w:t>(Khrisna, 2009)</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bidi="th-TH"/>
        </w:rPr>
        <w:t>.</w:t>
      </w:r>
    </w:p>
    <w:p w14:paraId="316140B8"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lastRenderedPageBreak/>
        <w:t xml:space="preserve">Film juga termasuk pada salah satu media massa yang digemari oleh semua kalangan, karena sifatnya yang menampilkan audio dan visual, sehingga khalayak bisa menikmati film. Maka dari itu akan memungkinkan penonton untuk menentukan keperluannya. Dalam proses penyampaian informasi melalui media semacam ini mempunyai sifat yang lebih efektif karena menyajikan visual yang lebih baik, sehingga mudah dalam mengingat dan diterima dan diingat oleh masyarakat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bidi="th-TH"/>
        </w:rPr>
        <w:instrText>ADDIN CSL_CITATION {"citationItems":[{"id":"ITEM-1","itemData":{"author":[{"dropping-particle":"","family":"Gotot","given":"Prakosa","non-dropping-particle":"","parse-names":false,"suffix":""}],"id":"ITEM-1","issued":{"date-parts":[["2004"]]},"publisher":"Yayasan Seni Visual Indonesia","publisher-place":"Jakarta","title":"Film dan Kekuasaan","type":"book"},"uris":["http://www.mendeley.com/documents/?uuid=5b2f5cf9-129d-4edb-8d16-b9371602c7d2"]}],"mendeley":{"formattedCitation":"(Gotot, 2004)","plainTextFormattedCitation":"(Gotot, 2004)","previouslyFormattedCitation":"(Gotot, 2004)"},"properties":{"noteIndex":0},"schema":"https://github.com/citation-style-language/schema/raw/master/csl-citation.json"}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bidi="th-TH"/>
        </w:rPr>
        <w:t>(Gotot, 2004)</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bidi="th-TH"/>
        </w:rPr>
        <w:t>.</w:t>
      </w:r>
    </w:p>
    <w:p w14:paraId="7AFCA629"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 xml:space="preserve">Film merupakan unsur-unsur yang berperan penting dalam mengetahui sebuah film secara terperinci dan merata. Film mempunyai unsur yang terbagi menjadi dua, di antaranya yaitu unsur naratif dan unsur sinematik. Unsur naratif sendiri bersangkutan dengan sudut pandang cerita di dalam sebuah film, sedangkan unsur sinematik berkaitan pada aspek teknis yang ada di dalam proses produksi sebuah film. Kedua unsur tersebut di sebuah film mempunyai kaitan dan berkesinambungan antar satu sama lain dalam pembentukan film. Fungsi pada kedua unsur tersebut tidak akan bisa sesuai jika berdiri sendiri-sendiri. Pada unsur naratif mempunyai fungsi sebagai materi karena menjadi bentuk pengolahan dalam pembuatan film, sedangkan unsur sinematik adalah proses untuk memasak unsur naratif yang ada pada proses pembuatan film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bidi="th-TH"/>
        </w:rPr>
        <w:instrText>ADDIN CSL_CITATION {"citationItems":[{"id":"ITEM-1","itemData":{"author":[{"dropping-particle":"","family":"Teguh","given":"Trianton","non-dropping-particle":"","parse-names":false,"suffix":""}],"id":"ITEM-1","issued":{"date-parts":[["2013"]]},"publisher":"Graha Ilmu","publisher-place":"Yogyakarta","title":"Film Sebagai Media Belajar","type":"book"},"uris":["http://www.mendeley.com/documents/?uuid=99973617-edd3-4b6c-9c27-a31485f4e53a"]}],"mendeley":{"formattedCitation":"(Teguh, 2013)","plainTextFormattedCitation":"(Teguh, 2013)","previouslyFormattedCitation":"(Teguh, 2013)"},"properties":{"noteIndex":0},"schema":"https://github.com/citation-style-language/schema/raw/master/csl-citation.json"}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bidi="th-TH"/>
        </w:rPr>
        <w:t>(Teguh, 2013)</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bidi="th-TH"/>
        </w:rPr>
        <w:t>.</w:t>
      </w:r>
    </w:p>
    <w:p w14:paraId="497F727F"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 xml:space="preserve">Media massa yang berupa film memberikan keterangan dengan efektif untuk menyebarluaskan paham baru kepada khalayak. Berbagai pesan dan informasi bisa di sampaikan melalui film dengan beberapa masalah yang diangkat seperti isu sosial, budaya, politik, ataupun sebagai </w:t>
      </w:r>
      <w:r w:rsidRPr="00B9031A">
        <w:rPr>
          <w:rFonts w:ascii="Times New Roman" w:eastAsia="Aptos" w:hAnsi="Times New Roman" w:cs="Times New Roman"/>
          <w:lang w:bidi="th-TH"/>
        </w:rPr>
        <w:lastRenderedPageBreak/>
        <w:t xml:space="preserve">media hiburan yang terbungkus pada bentuk audio visual sehingga bisa menarik minat khalayak untuk menontonnya. </w:t>
      </w:r>
    </w:p>
    <w:p w14:paraId="395858DD"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 xml:space="preserve">Film juga termasuk ke dalam alat komunikasi untuk mencapai target penonton yang berupa masyarakat secara universal, hal tersebut bisa dikategorikan sebagai media komunikasi massa. Tak lain dari itu film juga bisa disebut sebagai sinema yang ada di dalamnya dari unsur cerita maupun aspek teknis yang ada di dalamnya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bidi="th-TH"/>
        </w:rPr>
        <w:instrText>ADDIN CSL_CITATION {"citationItems":[{"id":"ITEM-1","itemData":{"author":[{"dropping-particle":"","family":"Panuju","given":"Redi","non-dropping-particle":"","parse-names":false,"suffix":""}],"id":"ITEM-1","issued":{"date-parts":[["2019"]]},"publisher":"Inteligensi Media","publisher-place":"Surabaya","title":"Film Sebagai Gejala Komunikasi Massa","type":"book"},"uris":["http://www.mendeley.com/documents/?uuid=48751464-184d-4963-bd22-2ded5e47a180"]}],"mendeley":{"formattedCitation":"(Panuju, 2019)","plainTextFormattedCitation":"(Panuju, 2019)","previouslyFormattedCitation":"(Panuju, 2019)"},"properties":{"noteIndex":0},"schema":"https://github.com/citation-style-language/schema/raw/master/csl-citation.json"}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bidi="th-TH"/>
        </w:rPr>
        <w:t>(Panuju, 2019)</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bidi="th-TH"/>
        </w:rPr>
        <w:t>.</w:t>
      </w:r>
    </w:p>
    <w:p w14:paraId="0D55F140"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 xml:space="preserve">Kekuatan film yang merupakan media massa berbentuk audio visual mampu dimanfaatkan sebagai medium guna menyampaikan informasi kepada khalayak yang berkumpul pada suatu tempat tertentu untuk menontonnya. Setiap film mempunyai pesannya sendiri-sendiri yang memanfaatkan sistem pada kode yang ada di dalam pikiran manusia yang berupa isi pesan, suara, percakapan, perkataan dan sebagainya. Kemampuan film dianggap paling berhasil dalam media berkomunikasi kepada massa atau khalayak yang menjadi target sasarannya, hal tersebut dipengaruhi karena sifatnya audio visual pada gambar dan juga suara yang hidup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bidi="th-TH"/>
        </w:rPr>
        <w:instrText>ADDIN CSL_CITATION {"citationItems":[{"id":"ITEM-1","itemData":{"author":[{"dropping-particle":"","family":"Pratista","given":"Himawan","non-dropping-particle":"","parse-names":false,"suffix":""}],"id":"ITEM-1","issued":{"date-parts":[["2017"]]},"publisher":"Montase Press","publisher-place":"Yogyakarta","title":"Memahami Film Edisi 2","type":"book"},"uris":["http://www.mendeley.com/documents/?uuid=1aaf7e0b-869b-43f9-853e-1bd60b59b54d"]}],"mendeley":{"formattedCitation":"(Pratista, 2017)","plainTextFormattedCitation":"(Pratista, 2017)","previouslyFormattedCitation":"(Pratista, 2017)"},"properties":{"noteIndex":0},"schema":"https://github.com/citation-style-language/schema/raw/master/csl-citation.json"}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bidi="th-TH"/>
        </w:rPr>
        <w:t>(Pratista, 2017)</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bidi="th-TH"/>
        </w:rPr>
        <w:t xml:space="preserve">. </w:t>
      </w:r>
    </w:p>
    <w:p w14:paraId="3514EB5C"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 xml:space="preserve">Sekarang ini media massa yang berupa film sudah menjadi bagian dari kehidupan setiap hari, hal tersebut terjadi karena film sudah menjadi media massa yang populer dan juga banyak dimanfaatkan oleh masyarakat, di dalam film terdapat cerita yang dibungkus dengan teliti guna penyampaian informasi dan pesan pada film bisa tersampaikan secara bijak kepada penontonnya. Film dapat memengaruhi penonton kepada hal </w:t>
      </w:r>
      <w:r w:rsidRPr="00B9031A">
        <w:rPr>
          <w:rFonts w:ascii="Times New Roman" w:eastAsia="Aptos" w:hAnsi="Times New Roman" w:cs="Times New Roman"/>
          <w:lang w:bidi="th-TH"/>
        </w:rPr>
        <w:lastRenderedPageBreak/>
        <w:t xml:space="preserve">kognitif (seseorang jadi mengetahui sesuatu), konatif (tingkah laku yang membuat sesorang bertindak sesuatu), afektif (terbentuknya seseorang secara setuju atau tidak setuju terhadap sesuatu)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bidi="th-TH"/>
        </w:rPr>
        <w:instrText>ADDIN CSL_CITATION {"citationItems":[{"id":"ITEM-1","itemData":{"author":[{"dropping-particle":"","family":"Ilham","given":"Zoebazary","non-dropping-particle":"","parse-names":false,"suffix":""}],"id":"ITEM-1","issued":{"date-parts":[["2010"]]},"publisher":"Gramedia Pustaka Utama","publisher-place":"Jakarta","title":"Kamus Istilah Televisi dan Film","type":"book"},"uris":["http://www.mendeley.com/documents/?uuid=c0542932-6039-4d0e-8c0f-260582d04b0b"]}],"mendeley":{"formattedCitation":"(Ilham, 2010)","plainTextFormattedCitation":"(Ilham, 2010)","previouslyFormattedCitation":"(Ilham, 2010)"},"properties":{"noteIndex":0},"schema":"https://github.com/citation-style-language/schema/raw/master/csl-citation.json"}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bidi="th-TH"/>
        </w:rPr>
        <w:t>(Ilham, 2010)</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bidi="th-TH"/>
        </w:rPr>
        <w:t>.</w:t>
      </w:r>
    </w:p>
    <w:p w14:paraId="7E95EA5B"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 xml:space="preserve">Hal tersebut dikarenakan pesan-pesan dan juga nilai yang dimuat pada film. Seni yang dibentuk menjadi sebuah film bisa diterima oleh khalayak guna mendapatkan pandangan baru dan sebagai sarana untuk hiburan. Film memiliki kekuatan yang besar dari segi estetika karena menampilkan dialog, alur cerita, suara yang dibuat secara naratif dengan visual. Film mempunyai beberapa jenis, karena jenis film tersebut akan memudahkan para penonton untuk mencari referensi dan mendalami pemahaman yang luas tentang film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bidi="th-TH"/>
        </w:rPr>
        <w:instrText>ADDIN CSL_CITATION {"citationItems":[{"id":"ITEM-1","itemData":{"author":[{"dropping-particle":"","family":"Muhammad","given":"Alfathoni Mursid Ali","non-dropping-particle":"","parse-names":false,"suffix":""}],"id":"ITEM-1","issued":{"date-parts":[["2020"]]},"publisher":"Deepublish","publisher-place":"Sleman","title":"Pengantar Teori Film","type":"book"},"uris":["http://www.mendeley.com/documents/?uuid=5affb1f7-773a-4387-a295-ae9098e06065"]}],"mendeley":{"formattedCitation":"(Muhammad, 2020)","plainTextFormattedCitation":"(Muhammad, 2020)","previouslyFormattedCitation":"(Muhammad, 2020)"},"properties":{"noteIndex":0},"schema":"https://github.com/citation-style-language/schema/raw/master/csl-citation.json"}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bidi="th-TH"/>
        </w:rPr>
        <w:t>(Muhammad, 2020)</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bidi="th-TH"/>
        </w:rPr>
        <w:t>.</w:t>
      </w:r>
    </w:p>
    <w:p w14:paraId="584C9F44" w14:textId="77777777" w:rsidR="00B9031A" w:rsidRPr="00B9031A" w:rsidRDefault="00B9031A" w:rsidP="00B9031A">
      <w:pPr>
        <w:numPr>
          <w:ilvl w:val="0"/>
          <w:numId w:val="1"/>
        </w:numPr>
        <w:spacing w:after="0" w:line="480" w:lineRule="auto"/>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 xml:space="preserve">Film </w:t>
      </w:r>
      <w:r w:rsidRPr="00B9031A">
        <w:rPr>
          <w:rFonts w:ascii="Times New Roman" w:eastAsia="Aptos" w:hAnsi="Times New Roman" w:cs="Times New Roman"/>
          <w:i/>
          <w:iCs/>
          <w:lang w:bidi="th-TH"/>
        </w:rPr>
        <w:t>Action</w:t>
      </w:r>
    </w:p>
    <w:p w14:paraId="0E86D770" w14:textId="77777777" w:rsidR="00B9031A" w:rsidRPr="00B9031A" w:rsidRDefault="00B9031A" w:rsidP="00B9031A">
      <w:pPr>
        <w:spacing w:after="0" w:line="480" w:lineRule="auto"/>
        <w:ind w:left="1440" w:firstLine="720"/>
        <w:contextualSpacing/>
        <w:jc w:val="both"/>
        <w:rPr>
          <w:rFonts w:ascii="Times New Roman" w:eastAsia="Aptos" w:hAnsi="Times New Roman" w:cs="Times New Roman"/>
          <w:i/>
          <w:iCs/>
          <w:lang w:bidi="th-TH"/>
        </w:rPr>
      </w:pPr>
      <w:r w:rsidRPr="00B9031A">
        <w:rPr>
          <w:rFonts w:ascii="Times New Roman" w:eastAsia="Aptos" w:hAnsi="Times New Roman" w:cs="Times New Roman"/>
          <w:lang w:bidi="th-TH"/>
        </w:rPr>
        <w:t xml:space="preserve">Film aksi atau juga bisa disebut dengan </w:t>
      </w:r>
      <w:r w:rsidRPr="00B9031A">
        <w:rPr>
          <w:rFonts w:ascii="Times New Roman" w:eastAsia="Aptos" w:hAnsi="Times New Roman" w:cs="Times New Roman"/>
          <w:i/>
          <w:iCs/>
          <w:lang w:bidi="th-TH"/>
        </w:rPr>
        <w:t xml:space="preserve">action </w:t>
      </w:r>
      <w:r w:rsidRPr="00B9031A">
        <w:rPr>
          <w:rFonts w:ascii="Times New Roman" w:eastAsia="Aptos" w:hAnsi="Times New Roman" w:cs="Times New Roman"/>
          <w:lang w:bidi="th-TH"/>
        </w:rPr>
        <w:t xml:space="preserve">merupakan jenis film yang menggunakan adegan-adegan seru yang menegangkan, menampilkan tindakan berbahaya dengan tempo yang cepat di dalam alur ceritanya. Di dalam film </w:t>
      </w:r>
      <w:r w:rsidRPr="00B9031A">
        <w:rPr>
          <w:rFonts w:ascii="Times New Roman" w:eastAsia="Aptos" w:hAnsi="Times New Roman" w:cs="Times New Roman"/>
          <w:i/>
          <w:iCs/>
          <w:lang w:bidi="th-TH"/>
        </w:rPr>
        <w:t>action</w:t>
      </w:r>
      <w:r w:rsidRPr="00B9031A">
        <w:rPr>
          <w:rFonts w:ascii="Times New Roman" w:eastAsia="Aptos" w:hAnsi="Times New Roman" w:cs="Times New Roman"/>
          <w:lang w:bidi="th-TH"/>
        </w:rPr>
        <w:t xml:space="preserve"> beberapa menggunakan adegan yang bersaing dengan waktu, persenjataan, perkelahian, kejar-mengejar, balapan secara ugal-ugalan, hal tersebut tidak bisa dihindari dalam cerita film tersebut</w:t>
      </w:r>
      <w:r w:rsidRPr="00B9031A">
        <w:rPr>
          <w:rFonts w:ascii="Times New Roman" w:eastAsia="Aptos" w:hAnsi="Times New Roman" w:cs="Times New Roman"/>
          <w:i/>
          <w:iCs/>
          <w:lang w:bidi="th-TH"/>
        </w:rPr>
        <w:t xml:space="preserve"> </w:t>
      </w:r>
      <w:r w:rsidRPr="00B9031A">
        <w:rPr>
          <w:rFonts w:ascii="Times New Roman" w:eastAsia="Aptos" w:hAnsi="Times New Roman" w:cs="Times New Roman"/>
          <w:lang w:bidi="th-TH"/>
        </w:rPr>
        <w:t xml:space="preserve">yang menggunakan aksi-aksi fisik untuk menjadi bagian yang wajib ada di dalam cerita film </w:t>
      </w:r>
      <w:r w:rsidRPr="00B9031A">
        <w:rPr>
          <w:rFonts w:ascii="Times New Roman" w:eastAsia="Aptos" w:hAnsi="Times New Roman" w:cs="Times New Roman"/>
          <w:i/>
          <w:iCs/>
          <w:lang w:bidi="th-TH"/>
        </w:rPr>
        <w:t xml:space="preserve">action </w:t>
      </w:r>
      <w:r w:rsidRPr="00B9031A">
        <w:rPr>
          <w:rFonts w:ascii="Times New Roman" w:eastAsia="Aptos" w:hAnsi="Times New Roman" w:cs="Times New Roman"/>
          <w:i/>
          <w:iCs/>
          <w:lang w:bidi="th-TH"/>
        </w:rPr>
        <w:fldChar w:fldCharType="begin" w:fldLock="1"/>
      </w:r>
      <w:r w:rsidRPr="00B9031A">
        <w:rPr>
          <w:rFonts w:ascii="Times New Roman" w:eastAsia="Aptos" w:hAnsi="Times New Roman" w:cs="Times New Roman"/>
          <w:i/>
          <w:iCs/>
          <w:lang w:bidi="th-TH"/>
        </w:rPr>
        <w:instrText>ADDIN CSL_CITATION {"citationItems":[{"id":"ITEM-1","itemData":{"author":[{"dropping-particle":"","family":"Effendy","given":"Heru","non-dropping-particle":"","parse-names":false,"suffix":""}],"id":"ITEM-1","issued":{"date-parts":[["2009"]]},"publisher":"Erlangga","publisher-place":"Jakarta","title":"Mari Membuat Film","type":"book"},"uris":["http://www.mendeley.com/documents/?uuid=179b4433-c1f7-46f6-aa63-725fd2216dda"]}],"mendeley":{"formattedCitation":"(Effendy, 2009)","plainTextFormattedCitation":"(Effendy, 2009)","previouslyFormattedCitation":"(Effendy, 2009)"},"properties":{"noteIndex":0},"schema":"https://github.com/citation-style-language/schema/raw/master/csl-citation.json"}</w:instrText>
      </w:r>
      <w:r w:rsidRPr="00B9031A">
        <w:rPr>
          <w:rFonts w:ascii="Times New Roman" w:eastAsia="Aptos" w:hAnsi="Times New Roman" w:cs="Times New Roman"/>
          <w:i/>
          <w:iCs/>
          <w:lang w:bidi="th-TH"/>
        </w:rPr>
        <w:fldChar w:fldCharType="separate"/>
      </w:r>
      <w:r w:rsidRPr="00B9031A">
        <w:rPr>
          <w:rFonts w:ascii="Times New Roman" w:eastAsia="Aptos" w:hAnsi="Times New Roman" w:cs="Times New Roman"/>
          <w:iCs/>
          <w:noProof/>
          <w:lang w:bidi="th-TH"/>
        </w:rPr>
        <w:t>(Effendy, 2009)</w:t>
      </w:r>
      <w:r w:rsidRPr="00B9031A">
        <w:rPr>
          <w:rFonts w:ascii="Times New Roman" w:eastAsia="Aptos" w:hAnsi="Times New Roman" w:cs="Times New Roman"/>
          <w:i/>
          <w:iCs/>
          <w:lang w:bidi="th-TH"/>
        </w:rPr>
        <w:fldChar w:fldCharType="end"/>
      </w:r>
      <w:r w:rsidRPr="00B9031A">
        <w:rPr>
          <w:rFonts w:ascii="Times New Roman" w:eastAsia="Aptos" w:hAnsi="Times New Roman" w:cs="Times New Roman"/>
          <w:i/>
          <w:iCs/>
          <w:lang w:bidi="th-TH"/>
        </w:rPr>
        <w:t>.</w:t>
      </w:r>
    </w:p>
    <w:p w14:paraId="66038E18" w14:textId="77777777" w:rsidR="00B9031A" w:rsidRPr="00B9031A" w:rsidRDefault="00B9031A" w:rsidP="00B9031A">
      <w:pPr>
        <w:spacing w:after="0" w:line="480" w:lineRule="auto"/>
        <w:ind w:left="1440" w:firstLine="720"/>
        <w:contextualSpacing/>
        <w:jc w:val="both"/>
        <w:rPr>
          <w:rFonts w:ascii="Times New Roman" w:eastAsia="Aptos" w:hAnsi="Times New Roman" w:cs="Times New Roman"/>
          <w:i/>
          <w:iCs/>
          <w:lang w:bidi="th-TH"/>
        </w:rPr>
      </w:pPr>
      <w:r w:rsidRPr="00B9031A">
        <w:rPr>
          <w:rFonts w:ascii="Times New Roman" w:eastAsia="Aptos" w:hAnsi="Times New Roman" w:cs="Times New Roman"/>
          <w:lang w:bidi="th-TH"/>
        </w:rPr>
        <w:t xml:space="preserve">Jenis film ini merupakan yang paling adaptif daripada jenis film yang lainnya karena jenis film ini mampu berkolaborasi dengan </w:t>
      </w:r>
      <w:r w:rsidRPr="00B9031A">
        <w:rPr>
          <w:rFonts w:ascii="Times New Roman" w:eastAsia="Aptos" w:hAnsi="Times New Roman" w:cs="Times New Roman"/>
          <w:i/>
          <w:iCs/>
          <w:lang w:bidi="th-TH"/>
        </w:rPr>
        <w:lastRenderedPageBreak/>
        <w:t>genre</w:t>
      </w:r>
      <w:r w:rsidRPr="00B9031A">
        <w:rPr>
          <w:rFonts w:ascii="Times New Roman" w:eastAsia="Aptos" w:hAnsi="Times New Roman" w:cs="Times New Roman"/>
          <w:lang w:bidi="th-TH"/>
        </w:rPr>
        <w:t xml:space="preserve"> pusat seperti petualangan, </w:t>
      </w:r>
      <w:r w:rsidRPr="00B9031A">
        <w:rPr>
          <w:rFonts w:ascii="Times New Roman" w:eastAsia="Aptos" w:hAnsi="Times New Roman" w:cs="Times New Roman"/>
          <w:i/>
          <w:iCs/>
          <w:lang w:bidi="th-TH"/>
        </w:rPr>
        <w:t xml:space="preserve">thriller, </w:t>
      </w:r>
      <w:r w:rsidRPr="00B9031A">
        <w:rPr>
          <w:rFonts w:ascii="Times New Roman" w:eastAsia="Aptos" w:hAnsi="Times New Roman" w:cs="Times New Roman"/>
          <w:lang w:bidi="th-TH"/>
        </w:rPr>
        <w:t xml:space="preserve">kriminal, fiksi, drama, komedi, horor, dan lain sebagaianya. Film dengan </w:t>
      </w:r>
      <w:r w:rsidRPr="00B9031A">
        <w:rPr>
          <w:rFonts w:ascii="Times New Roman" w:eastAsia="Aptos" w:hAnsi="Times New Roman" w:cs="Times New Roman"/>
          <w:i/>
          <w:iCs/>
          <w:lang w:bidi="th-TH"/>
        </w:rPr>
        <w:t>genre</w:t>
      </w:r>
      <w:r w:rsidRPr="00B9031A">
        <w:rPr>
          <w:rFonts w:ascii="Times New Roman" w:eastAsia="Aptos" w:hAnsi="Times New Roman" w:cs="Times New Roman"/>
          <w:lang w:bidi="th-TH"/>
        </w:rPr>
        <w:t xml:space="preserve"> tersebut mempunyai risiko pada biaya produksi karena menggunakan banyak properti untuk dirusakkan, selain itu juga memakai aktor-aktor yang terkenal dengan adegan yang menakjubkan. Untuk pemeran di dalam genre tersebut seringkali menggunakan karakter protagonis dan antagonis yang keduanya saling berkaitan untuk menampilkan cerita yang bagus di dalam film </w:t>
      </w:r>
      <w:r w:rsidRPr="00B9031A">
        <w:rPr>
          <w:rFonts w:ascii="Times New Roman" w:eastAsia="Aptos" w:hAnsi="Times New Roman" w:cs="Times New Roman"/>
          <w:i/>
          <w:iCs/>
          <w:lang w:bidi="th-TH"/>
        </w:rPr>
        <w:t>action.</w:t>
      </w:r>
    </w:p>
    <w:p w14:paraId="316F2794" w14:textId="77777777" w:rsidR="00B9031A" w:rsidRPr="00B9031A" w:rsidRDefault="00B9031A" w:rsidP="00B9031A">
      <w:pPr>
        <w:numPr>
          <w:ilvl w:val="0"/>
          <w:numId w:val="1"/>
        </w:numPr>
        <w:spacing w:after="0" w:line="480" w:lineRule="auto"/>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Film Fiksi</w:t>
      </w:r>
    </w:p>
    <w:p w14:paraId="104E3215" w14:textId="77777777" w:rsidR="00B9031A" w:rsidRPr="00B9031A" w:rsidRDefault="00B9031A" w:rsidP="00B9031A">
      <w:pPr>
        <w:spacing w:after="0" w:line="480" w:lineRule="auto"/>
        <w:ind w:left="1440" w:firstLine="720"/>
        <w:contextualSpacing/>
        <w:jc w:val="both"/>
        <w:rPr>
          <w:rFonts w:ascii="Times New Roman" w:eastAsia="Aptos" w:hAnsi="Times New Roman" w:cs="Times New Roman"/>
          <w:lang w:val="fi-FI" w:bidi="th-TH"/>
        </w:rPr>
      </w:pPr>
      <w:r w:rsidRPr="00B9031A">
        <w:rPr>
          <w:rFonts w:ascii="Times New Roman" w:eastAsia="Aptos" w:hAnsi="Times New Roman" w:cs="Times New Roman"/>
          <w:lang w:bidi="th-TH"/>
        </w:rPr>
        <w:t xml:space="preserve">Film dengan jenis fiksi merupakan film yang diproduksi melalui hasil dari mengarang cerita dengan dimainkan oleh para aktor, film fiksi bersangkutan dengan plot. Dari segi cerita film tersebut bersamaan dengan menggunakan cerita khayalan di luar kejadian nyata. </w:t>
      </w:r>
      <w:r w:rsidRPr="00B9031A">
        <w:rPr>
          <w:rFonts w:ascii="Times New Roman" w:eastAsia="Aptos" w:hAnsi="Times New Roman" w:cs="Times New Roman"/>
          <w:lang w:val="fi-FI" w:bidi="th-TH"/>
        </w:rPr>
        <w:t xml:space="preserve">Film fiksi merupakan film karangan, karena karangan yang dilakukan tersebut bisa meliputi pada kejadian nyata, imajinasi dari pembuat ceritanya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val="fi-FI" w:bidi="th-TH"/>
        </w:rPr>
        <w:instrText>ADDIN CSL_CITATION {"citationItems":[{"id":"ITEM-1","itemData":{"author":[{"dropping-particle":"","family":"Kristanto","given":"JB","non-dropping-particle":"","parse-names":false,"suffix":""}],"id":"ITEM-1","issued":{"date-parts":[["2007"]]},"publisher":"Nalar","publisher-place":"Jakarta","title":"Katalog Film Indonesia 1926-2007","type":"book"},"uris":["http://www.mendeley.com/documents/?uuid=c507c98e-7c33-47d7-bfc5-3522c9a760c3"]}],"mendeley":{"formattedCitation":"(Kristanto, 2007)","plainTextFormattedCitation":"(Kristanto, 2007)","previouslyFormattedCitation":"(Kristanto, 2007)"},"properties":{"noteIndex":0},"schema":"https://github.com/citation-style-language/schema/raw/master/csl-citation.json"}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val="fi-FI" w:bidi="th-TH"/>
        </w:rPr>
        <w:t>(Kristanto, 2007)</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val="fi-FI" w:bidi="th-TH"/>
        </w:rPr>
        <w:t xml:space="preserve">. </w:t>
      </w:r>
    </w:p>
    <w:p w14:paraId="22E416E3" w14:textId="77777777" w:rsidR="00B9031A" w:rsidRPr="00B9031A" w:rsidRDefault="00B9031A" w:rsidP="00B9031A">
      <w:pPr>
        <w:spacing w:after="0" w:line="480" w:lineRule="auto"/>
        <w:ind w:left="144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Film dengan jenis tersebut berhubungan penting dengan plot atau alur yang menjadi unsur pembentuk dalam struktur cerita yang terikat. Selain film fiksi merupakan bentuk dari karangan cerita yang di luar dari kejadian nyata, cerita fiksi biasanya mempunyai dua peranan karakter yaitu protagonis dan juga antagonis, memiliki konflik, dan penutupan.</w:t>
      </w:r>
    </w:p>
    <w:p w14:paraId="234ED257" w14:textId="77777777" w:rsidR="00B9031A" w:rsidRPr="00B9031A" w:rsidRDefault="00B9031A" w:rsidP="00B9031A">
      <w:pPr>
        <w:spacing w:after="0" w:line="480" w:lineRule="auto"/>
        <w:ind w:left="144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lastRenderedPageBreak/>
        <w:t>Jenis film ini wajib menggunakan persiapan yang matang, dengan peralatan yang sudah mencukupi. Fiksi di dalam lingkungan film merupakan hasil dari karya yang dihasilkan menurut cerita yang diciptakan dan dilaksanakan oleh pemeran dari film tersebut. Sebagian besar ditunjukkan untuk kebutuhan komersial, di mana film tersebut diperdagangkan kepada penonton melalui tiket dengan harga tertentu untuk menyaksikan film tersebut di bioskop.</w:t>
      </w:r>
    </w:p>
    <w:p w14:paraId="21E81F36" w14:textId="77777777" w:rsidR="00B9031A" w:rsidRPr="00B9031A" w:rsidRDefault="00B9031A" w:rsidP="00B9031A">
      <w:pPr>
        <w:numPr>
          <w:ilvl w:val="0"/>
          <w:numId w:val="1"/>
        </w:numPr>
        <w:spacing w:after="0" w:line="480" w:lineRule="auto"/>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Film Adaptasi</w:t>
      </w:r>
    </w:p>
    <w:p w14:paraId="610218A8" w14:textId="77777777" w:rsidR="00B9031A" w:rsidRPr="00B9031A" w:rsidRDefault="00B9031A" w:rsidP="00B9031A">
      <w:pPr>
        <w:spacing w:after="0" w:line="480" w:lineRule="auto"/>
        <w:ind w:left="144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 xml:space="preserve">Film adaptasi merupakan jenis film yang mengangkat karya sastra sebagai cerita, seperti sebuah novel ataupun dari naskah aslinya. Film adaptasi tidak menghilangkan unsur-unsur cerita dari novel atau karya sastra yang sebelumnya, isinya masih tetap ada dengan pengembangan oleh aspek sinematografi film untuk menjadi medianya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bidi="th-TH"/>
        </w:rPr>
        <w:instrText>ADDIN CSL_CITATION {"citationItems":[{"id":"ITEM-1","itemData":{"author":[{"dropping-particle":"","family":"Alo","given":"Liliweri","non-dropping-particle":"","parse-names":false,"suffix":""}],"id":"ITEM-1","issued":{"date-parts":[["2019"]]},"publisher":"Nusa Media","publisher-place":"Bandung","title":"Pengantar Studi Kebudayaan","type":"book"},"uris":["http://www.mendeley.com/documents/?uuid=32f6f19f-ae7c-4f67-8eb5-0eb32fe96eb0"]}],"mendeley":{"formattedCitation":"(Alo, 2019)","plainTextFormattedCitation":"(Alo, 2019)","previouslyFormattedCitation":"(Alo, 2019)"},"properties":{"noteIndex":0},"schema":"https://github.com/citation-style-language/schema/raw/master/csl-citation.json"}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bidi="th-TH"/>
        </w:rPr>
        <w:t>(Alo, 2019)</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bidi="th-TH"/>
        </w:rPr>
        <w:t xml:space="preserve">. </w:t>
      </w:r>
    </w:p>
    <w:p w14:paraId="2878CE28" w14:textId="77777777" w:rsidR="00B9031A" w:rsidRPr="00B9031A" w:rsidRDefault="00B9031A" w:rsidP="00B9031A">
      <w:pPr>
        <w:spacing w:after="0" w:line="480" w:lineRule="auto"/>
        <w:ind w:left="144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 xml:space="preserve">Dalam mengkaji film adaptasi semestinya tidak terbatas kepada yang hilang dari cerita aslinya, akan tetapi bagaimana karya sastra dapat diadaptasikan menjadi wujud baru dengan bagaimana, perubahan dan akibat apa yang dihasilkan. Banyak sumber seperti buku, puisi, lagu, cerita pendek, dan komik yang bisa dijadikan bahan pokok untuk diadaptasikan menjadi film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bidi="th-TH"/>
        </w:rPr>
        <w:instrText>ADDIN CSL_CITATION {"citationItems":[{"id":"ITEM-1","itemData":{"author":[{"dropping-particle":"","family":"Pratista","given":"Himawan","non-dropping-particle":"","parse-names":false,"suffix":""}],"id":"ITEM-1","issued":{"date-parts":[["2008"]]},"publisher":"Homerian Pustaka","publisher-place":"Yogyakarta","title":"Memahami Film","type":"book"},"uris":["http://www.mendeley.com/documents/?uuid=2cb55dda-0da4-4659-8025-d7e8ba17e728"]}],"mendeley":{"formattedCitation":"(Pratista, 2008)","plainTextFormattedCitation":"(Pratista, 2008)","previouslyFormattedCitation":"(Pratista, 2008)"},"properties":{"noteIndex":0},"schema":"https://github.com/citation-style-language/schema/raw/master/csl-citation.json"}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bidi="th-TH"/>
        </w:rPr>
        <w:t>(Pratista, 2008)</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bidi="th-TH"/>
        </w:rPr>
        <w:t>.</w:t>
      </w:r>
    </w:p>
    <w:p w14:paraId="3D89A84D" w14:textId="77777777" w:rsidR="00B9031A" w:rsidRPr="00B9031A" w:rsidRDefault="00B9031A" w:rsidP="00B9031A">
      <w:pPr>
        <w:spacing w:after="0" w:line="480" w:lineRule="auto"/>
        <w:ind w:left="1440" w:firstLine="720"/>
        <w:contextualSpacing/>
        <w:jc w:val="both"/>
        <w:rPr>
          <w:rFonts w:ascii="Times New Roman" w:eastAsia="Aptos" w:hAnsi="Times New Roman" w:cs="Times New Roman"/>
          <w:lang w:val="fi-FI" w:bidi="th-TH"/>
        </w:rPr>
      </w:pPr>
      <w:r w:rsidRPr="00B9031A">
        <w:rPr>
          <w:rFonts w:ascii="Times New Roman" w:eastAsia="Aptos" w:hAnsi="Times New Roman" w:cs="Times New Roman"/>
          <w:lang w:val="fi-FI" w:bidi="th-TH"/>
        </w:rPr>
        <w:t xml:space="preserve">Adaptasi merupakan suatu tahapan yang harus mempunyai nilai yang bagus daripada sumbernya. Dalam mengadaptasi sebuah karya sastra menjadi rancangan film yang sudah pasti, film menjadi </w:t>
      </w:r>
      <w:r w:rsidRPr="00B9031A">
        <w:rPr>
          <w:rFonts w:ascii="Times New Roman" w:eastAsia="Aptos" w:hAnsi="Times New Roman" w:cs="Times New Roman"/>
          <w:lang w:val="fi-FI" w:bidi="th-TH"/>
        </w:rPr>
        <w:lastRenderedPageBreak/>
        <w:t>sebuah pilihan yang bersifat nyata dan logis. Ada beberapa faktor yang harus diperhatikan dalam penimbangan untuk menjadikan adaptasi dari karya sastra seperti novel menjadi film, hal tersebut dikhususkan untuk pembuatan skenario.</w:t>
      </w:r>
    </w:p>
    <w:p w14:paraId="650A6EA8" w14:textId="77777777" w:rsidR="00B9031A" w:rsidRPr="00B9031A" w:rsidRDefault="00B9031A" w:rsidP="00B9031A">
      <w:pPr>
        <w:spacing w:after="0" w:line="480" w:lineRule="auto"/>
        <w:ind w:left="1440" w:firstLine="720"/>
        <w:contextualSpacing/>
        <w:jc w:val="both"/>
        <w:rPr>
          <w:rFonts w:ascii="Times New Roman" w:eastAsia="Aptos" w:hAnsi="Times New Roman" w:cs="Times New Roman"/>
          <w:lang w:val="fi-FI" w:bidi="th-TH"/>
        </w:rPr>
      </w:pPr>
      <w:r w:rsidRPr="00B9031A">
        <w:rPr>
          <w:rFonts w:ascii="Times New Roman" w:eastAsia="Aptos" w:hAnsi="Times New Roman" w:cs="Times New Roman"/>
          <w:lang w:val="fi-FI" w:bidi="th-TH"/>
        </w:rPr>
        <w:t xml:space="preserve">Beberapa faktor tadi meliputi perubahan media, peralihan seniman kreatif, kemampuan sinematik karya yang asli, dan problem ciptaan para penonton. Tujuan adaptasi sendiri tidak lain untuk mengusahakan sejumlah kesamaan dengan cerita aslinya, akan tetapi hal tersebut untuk menciptakan hasil terbaik dari materi yang ada guna melahirkan skenario dengan baik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val="fi-FI" w:bidi="th-TH"/>
        </w:rPr>
        <w:instrText>ADDIN CSL_CITATION {"citationItems":[{"id":"ITEM-1","itemData":{"author":[{"dropping-particle":"","family":"Siagian","given":"Gayus","non-dropping-particle":"","parse-names":false,"suffix":""}],"id":"ITEM-1","issued":{"date-parts":[["2006"]]},"publisher":"Dewan Kesenian Jakarta","publisher-place":"Jakarta","title":"Menilai Film","type":"book"},"uris":["http://www.mendeley.com/documents/?uuid=ab5aa413-ccc2-4c33-ae5a-3362223ef333"]}],"mendeley":{"formattedCitation":"(Siagian, 2006)","plainTextFormattedCitation":"(Siagian, 2006)","previouslyFormattedCitation":"(Siagian, 2006)"},"properties":{"noteIndex":0},"schema":"https://github.com/citation-style-language/schema/raw/master/csl-citation.json"}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val="fi-FI" w:bidi="th-TH"/>
        </w:rPr>
        <w:t>(Siagian, 2006)</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val="fi-FI" w:bidi="th-TH"/>
        </w:rPr>
        <w:t>.</w:t>
      </w:r>
    </w:p>
    <w:p w14:paraId="5C441752" w14:textId="77777777" w:rsidR="00B9031A" w:rsidRPr="00B9031A" w:rsidRDefault="00B9031A" w:rsidP="00B9031A">
      <w:pPr>
        <w:keepNext/>
        <w:keepLines/>
        <w:numPr>
          <w:ilvl w:val="0"/>
          <w:numId w:val="10"/>
        </w:numPr>
        <w:spacing w:before="160" w:after="80" w:line="259" w:lineRule="auto"/>
        <w:ind w:left="709" w:hanging="283"/>
        <w:outlineLvl w:val="1"/>
        <w:rPr>
          <w:rFonts w:ascii="Times New Roman" w:eastAsia="DengXian Light" w:hAnsi="Times New Roman" w:cs="Angsana New"/>
          <w:color w:val="000000"/>
          <w:szCs w:val="40"/>
          <w:lang w:val="fi-FI" w:bidi="th-TH"/>
        </w:rPr>
      </w:pPr>
      <w:bookmarkStart w:id="13" w:name="_Toc208469579"/>
      <w:bookmarkStart w:id="14" w:name="_Toc208469863"/>
      <w:r w:rsidRPr="00B9031A">
        <w:rPr>
          <w:rFonts w:ascii="Times New Roman" w:eastAsia="DengXian Light" w:hAnsi="Times New Roman" w:cs="Angsana New"/>
          <w:color w:val="000000"/>
          <w:szCs w:val="40"/>
          <w:lang w:val="fi-FI" w:bidi="th-TH"/>
        </w:rPr>
        <w:t>Feminisme</w:t>
      </w:r>
      <w:bookmarkEnd w:id="13"/>
      <w:bookmarkEnd w:id="14"/>
    </w:p>
    <w:p w14:paraId="3B3F7B08" w14:textId="77777777" w:rsidR="00B9031A" w:rsidRPr="00B9031A" w:rsidRDefault="00B9031A" w:rsidP="00B9031A">
      <w:pPr>
        <w:spacing w:line="480" w:lineRule="auto"/>
        <w:ind w:left="72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 xml:space="preserve">Feminisme awal mulanya merupakan sebuah gerakan atau aktivis perempuan yang memperjuangkan keseimbangan gender anatara perempuan dan laki-laki sebagai manusia yang menjadikan sama seperti laki-laki guna mendapatkan haknya di kehidupan bermasyarakat. Feminisme bisa dimengerti sebagai kerangka berpikir juga metodologi yang bertujuan untuk mengungkap bahwa dalam dunia realitas sosial, budaya, politik, dan yang lain terjadi adanya ketimpangan gender, hubungan yang tidak seimbang antara laki-laki dan perempuan, ketertindasan yang dialami oleh perempuan, juga stereotip yang tidak benar selalu melekat kepada para kaum perempuan dan sebagainya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bidi="th-TH"/>
        </w:rPr>
        <w:instrText>ADDIN CSL_CITATION {"citationItems":[{"id":"ITEM-1","itemData":{"author":[{"dropping-particle":"","family":"Nadya","given":"Melati Karima","non-dropping-particle":"","parse-names":false,"suffix":""}],"id":"ITEM-1","issued":{"date-parts":[["2019"]]},"publisher":"Mojok Group","publisher-place":"Yogyakarta","title":"Membicarakan Feminisme","type":"book"},"uris":["http://www.mendeley.com/documents/?uuid=ef332e1d-3fa1-4666-898d-471384bd24b2"]}],"mendeley":{"formattedCitation":"(Nadya, 2019)","plainTextFormattedCitation":"(Nadya, 2019)","previouslyFormattedCitation":"(Nadya, 2019)"},"properties":{"noteIndex":0},"schema":"https://github.com/citation-style-language/schema/raw/master/csl-citation.json"}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bidi="th-TH"/>
        </w:rPr>
        <w:t>(Nadya, 2019)</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bidi="th-TH"/>
        </w:rPr>
        <w:t>.</w:t>
      </w:r>
    </w:p>
    <w:p w14:paraId="0D5FBE5F" w14:textId="77777777" w:rsidR="00B9031A" w:rsidRPr="00B9031A" w:rsidRDefault="00B9031A" w:rsidP="00B9031A">
      <w:pPr>
        <w:spacing w:line="480" w:lineRule="auto"/>
        <w:ind w:left="72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 xml:space="preserve">Fenomena sosial yang terjadi dikarenakan pandangan yang tidak adil terhadap gender, hal tersebut mengakibatkan berbagai peristiwa gender </w:t>
      </w:r>
      <w:r w:rsidRPr="00B9031A">
        <w:rPr>
          <w:rFonts w:ascii="Times New Roman" w:eastAsia="Aptos" w:hAnsi="Times New Roman" w:cs="Times New Roman"/>
          <w:lang w:bidi="th-TH"/>
        </w:rPr>
        <w:lastRenderedPageBreak/>
        <w:t xml:space="preserve">di lingkungan masyarakat, yang di antaranya merupakan subordinasi gender, marjinalisasi, </w:t>
      </w:r>
      <w:r w:rsidRPr="00B9031A">
        <w:rPr>
          <w:rFonts w:ascii="Times New Roman" w:eastAsia="Aptos" w:hAnsi="Times New Roman" w:cs="Times New Roman"/>
          <w:i/>
          <w:iCs/>
          <w:lang w:bidi="th-TH"/>
        </w:rPr>
        <w:t>over burden</w:t>
      </w:r>
      <w:r w:rsidRPr="00B9031A">
        <w:rPr>
          <w:rFonts w:ascii="Times New Roman" w:eastAsia="Aptos" w:hAnsi="Times New Roman" w:cs="Times New Roman"/>
          <w:lang w:bidi="th-TH"/>
        </w:rPr>
        <w:t xml:space="preserve">, dan stereotip. Feminisme bisa meliputi baik gerakan hak-hak perempuan maupun emansipasi perempuan, di mana kedua posisi yang semestinya gerakan perempuan dengan rasa kepedulian dan pemenangan untuk kesetaraan antara perempuan dan laki-laki dalam semua sudut pandang masyarakat juga memberikan akses kepada semua hak dan kesempatan-kesempatan yang dialami oleh laki-laki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bidi="th-TH"/>
        </w:rPr>
        <w:instrText>ADDIN CSL_CITATION {"citationItems":[{"id":"ITEM-1","itemData":{"author":[{"dropping-particle":"","family":"Kadarusman","given":"","non-dropping-particle":"","parse-names":false,"suffix":""}],"id":"ITEM-1","issued":{"date-parts":[["2005"]]},"publisher":"Kreasi Wacana","publisher-place":"Yogyakarta","title":"Agama Relasi Gender dan Feminisme","type":"book"},"uris":["http://www.mendeley.com/documents/?uuid=22fd615b-7299-4a96-b435-8dbb01bd5e12"]}],"mendeley":{"formattedCitation":"(Kadarusman, 2005)","plainTextFormattedCitation":"(Kadarusman, 2005)","previouslyFormattedCitation":"(Kadarusman, 2005)"},"properties":{"noteIndex":0},"schema":"https://github.com/citation-style-language/schema/raw/master/csl-citation.json"}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bidi="th-TH"/>
        </w:rPr>
        <w:t>(Kadarusman, 2005)</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bidi="th-TH"/>
        </w:rPr>
        <w:t>.</w:t>
      </w:r>
    </w:p>
    <w:p w14:paraId="2D16FB89" w14:textId="77777777" w:rsidR="00B9031A" w:rsidRPr="00B9031A" w:rsidRDefault="00B9031A" w:rsidP="00B9031A">
      <w:pPr>
        <w:spacing w:line="480" w:lineRule="auto"/>
        <w:ind w:left="72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Gerakan feminisme dipastikan sebagai gerakan kaum perempuan untuk menolak segala sesuatu yang ada unsur marginalisasi dan merasa direndahkan oleh kebudayaan yang berpengaruh kuat, baik di dalam bidang politik, bidang ekonomi dan bidang sosial pada umumnya. Perempuan selalu memperjuangkan untuk melawan keterikatan hubungan kekuasaan pada kaum laki-laki dengan perjuangannya yang tiada habisnya.</w:t>
      </w:r>
    </w:p>
    <w:p w14:paraId="65BC7303" w14:textId="77777777" w:rsidR="00B9031A" w:rsidRPr="00B9031A" w:rsidRDefault="00B9031A" w:rsidP="00B9031A">
      <w:pPr>
        <w:spacing w:line="480" w:lineRule="auto"/>
        <w:ind w:left="72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 xml:space="preserve">Feminisme pada hakikatnya merupakan konsep yang muncul berkaitan dengan adanya perubahan sosial, teori-teori pembangunan, kesadaran politik pada perempuan, juga gerakan untuk pembebasan para kaum perempuan. Hal tersebut masuk dalam pemaknaan sebuah gender laki-laki dan perempuan, sedangkan konsep dari gender adalah sebuah sifat yang melekat pada kaum laki-laki maupun perempuan yang dibentuk dengan sosiokultural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bidi="th-TH"/>
        </w:rPr>
        <w:instrText>ADDIN CSL_CITATION {"citationItems":[{"id":"ITEM-1","itemData":{"author":[{"dropping-particle":"","family":"Sue","given":"Thornham","non-dropping-particle":"","parse-names":false,"suffix":""}],"id":"ITEM-1","issued":{"date-parts":[["2010"]]},"publisher":"Jalasutra","publisher-place":"Yogyakarta","title":"Teori Feminis dan Cultural Studies: Tentang Relasi yang Belum Terselesaikan","type":"book"},"uris":["http://www.mendeley.com/documents/?uuid=bfce8782-7db6-46c1-9abb-bf66aa271258"]}],"mendeley":{"formattedCitation":"(Sue, 2010)","plainTextFormattedCitation":"(Sue, 2010)","previouslyFormattedCitation":"(Sue, 2010)"},"properties":{"noteIndex":0},"schema":"https://github.com/citation-style-language/schema/raw/master/csl-citation.json"}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bidi="th-TH"/>
        </w:rPr>
        <w:t>(Sue, 2010)</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bidi="th-TH"/>
        </w:rPr>
        <w:t>.</w:t>
      </w:r>
    </w:p>
    <w:p w14:paraId="0995156E" w14:textId="77777777" w:rsidR="00B9031A" w:rsidRPr="00B9031A" w:rsidRDefault="00B9031A" w:rsidP="00B9031A">
      <w:pPr>
        <w:spacing w:line="480" w:lineRule="auto"/>
        <w:ind w:left="72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 xml:space="preserve">Feminisme ini merupakan gerakan dengan paham yang bertujuan untuk menghapus pada ketidakdilan juga memperjuangkan kesetaraan yang </w:t>
      </w:r>
      <w:r w:rsidRPr="00B9031A">
        <w:rPr>
          <w:rFonts w:ascii="Times New Roman" w:eastAsia="Aptos" w:hAnsi="Times New Roman" w:cs="Times New Roman"/>
          <w:lang w:bidi="th-TH"/>
        </w:rPr>
        <w:lastRenderedPageBreak/>
        <w:t xml:space="preserve">berkaitan dengan perempuan, baik itu dalam segi politik, pendidikan maupun kehidupan sosial. Gerakan ini mengusahakan untuk menyetarakan hak-hak perempuan pada persepsi seluruh masyarakat tanpa memandang gender, ras, dan kelas agar terciptanya keadilan bagi seluruh masyarakat, terlebih kepada individu atau kelompok yang berpegang pada konsep patriarki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bidi="th-TH"/>
        </w:rPr>
        <w:instrText>ADDIN CSL_CITATION {"citationItems":[{"id":"ITEM-1","itemData":{"author":[{"dropping-particle":"","family":"Hannam","given":"June","non-dropping-particle":"","parse-names":false,"suffix":""}],"id":"ITEM-1","issued":{"date-parts":[["2007"]]},"publisher":"Pearson Longman","publisher-place":"England","title":"Feminism","type":"book"},"uris":["http://www.mendeley.com/documents/?uuid=5fac88b7-f9af-4f56-be96-f4b73683104b"]}],"mendeley":{"formattedCitation":"(Hannam, 2007)","plainTextFormattedCitation":"(Hannam, 2007)","previouslyFormattedCitation":"(Hannam, 2007)"},"properties":{"noteIndex":0},"schema":"https://github.com/citation-style-language/schema/raw/master/csl-citation.json"}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bidi="th-TH"/>
        </w:rPr>
        <w:t>(Hannam, 2007)</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bidi="th-TH"/>
        </w:rPr>
        <w:t>.</w:t>
      </w:r>
    </w:p>
    <w:p w14:paraId="3763E08C" w14:textId="77777777" w:rsidR="00B9031A" w:rsidRPr="00B9031A" w:rsidRDefault="00B9031A" w:rsidP="00B9031A">
      <w:pPr>
        <w:spacing w:line="480" w:lineRule="auto"/>
        <w:ind w:left="72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 xml:space="preserve">Namun feminisme juga merupakan gerakan perempuan yang ingin mengeluarkan perempuan dari kondisi di mana mereka merasa tidak diuntungkan, baik itu secara sosial, ekonomi, maupun politik. Kesetaraan gender merupakan sebuah konsep di mana stereotip tidak membatasi peran laki-laki dan perempuan dalam mengembangkan potensinya. Perempuan termasuk dalam kategori kelompok rentan dalam berbagai kajian dan pengaturan dari instrument hukum nasional serta internasional, bersamaan dengan kelompok yang lain seperti anak-anak, kaum minoritas, pengungsi, dan lain sebagainya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bidi="th-TH"/>
        </w:rPr>
        <w:instrText>ADDIN CSL_CITATION {"citationItems":[{"id":"ITEM-1","itemData":{"author":[{"dropping-particle":"","family":"Achie","given":"Luhulima Sudiarti","non-dropping-particle":"","parse-names":false,"suffix":""}],"id":"ITEM-1","issued":{"date-parts":[["2007"]]},"publisher":"Yayasan Obor Indonesia","publisher-place":"Jakarta","title":"Bahan Ajar Tentang Hak Perempuan","type":"book"},"uris":["http://www.mendeley.com/documents/?uuid=8f96aa55-ea68-4ad5-80c0-457825acd0a0"]}],"mendeley":{"formattedCitation":"(Achie, 2007)","plainTextFormattedCitation":"(Achie, 2007)","previouslyFormattedCitation":"(Achie, 2007)"},"properties":{"noteIndex":0},"schema":"https://github.com/citation-style-language/schema/raw/master/csl-citation.json"}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bidi="th-TH"/>
        </w:rPr>
        <w:t>(Achie, 2007)</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bidi="th-TH"/>
        </w:rPr>
        <w:t>.</w:t>
      </w:r>
    </w:p>
    <w:p w14:paraId="0DAA2E8F" w14:textId="77777777" w:rsidR="00B9031A" w:rsidRPr="00B9031A" w:rsidRDefault="00B9031A" w:rsidP="00B9031A">
      <w:pPr>
        <w:spacing w:line="480" w:lineRule="auto"/>
        <w:ind w:left="72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 xml:space="preserve">Hal seperti itu disebabkan oleh berbagai kondisi sosial, budaya, ekonomi maupun secara fisik yang menyebabkan perempuan rentan mendapatkan bahaya entah itu dari segi kekerasan atau pelanggaran hak oleh kelompok lainnya. Maka dari itu adanya gerakan feminisme merupakan paham, kajian, dan gerakan sosial yang bertujuan untuk memberikan perubahan status subordinat perempuan dalam masyarakat yang mengutamakan perspektif laki-laki, masyarakat yang mengutamakan </w:t>
      </w:r>
      <w:r w:rsidRPr="00B9031A">
        <w:rPr>
          <w:rFonts w:ascii="Times New Roman" w:eastAsia="Aptos" w:hAnsi="Times New Roman" w:cs="Times New Roman"/>
          <w:lang w:bidi="th-TH"/>
        </w:rPr>
        <w:lastRenderedPageBreak/>
        <w:t xml:space="preserve">kepentingan para kaum laki-laki di luar kepentingan perempuan merupakan definisi dari masyarakat dengan sifat patriarki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bidi="th-TH"/>
        </w:rPr>
        <w:instrText>ADDIN CSL_CITATION {"citationItems":[{"id":"ITEM-1","itemData":{"author":[{"dropping-particle":"","family":"Lusia","given":"Palulungan","non-dropping-particle":"","parse-names":false,"suffix":""}],"id":"ITEM-1","issued":{"date-parts":[["2020"]]},"publisher":"Yayasan Bursa Pengetahuan Kawasan Timur Indonesia (BaKTI)","publisher-place":"Makassar","title":"Perempuan Masyarakat Patriarki dan Kesetaraan Gender","type":"book"},"uris":["http://www.mendeley.com/documents/?uuid=be0f2662-9869-4a4d-960d-aa24d7303230"]}],"mendeley":{"formattedCitation":"(Lusia, 2020)","plainTextFormattedCitation":"(Lusia, 2020)","previouslyFormattedCitation":"(Lusia, 2020)"},"properties":{"noteIndex":0},"schema":"https://github.com/citation-style-language/schema/raw/master/csl-citation.json"}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bidi="th-TH"/>
        </w:rPr>
        <w:t>(Lusia, 2020)</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bidi="th-TH"/>
        </w:rPr>
        <w:t>.</w:t>
      </w:r>
    </w:p>
    <w:p w14:paraId="54C8D34E" w14:textId="77777777" w:rsidR="00B9031A" w:rsidRPr="00B9031A" w:rsidRDefault="00B9031A" w:rsidP="00B9031A">
      <w:pPr>
        <w:spacing w:line="480" w:lineRule="auto"/>
        <w:ind w:left="72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 xml:space="preserve">Gerakan feminisme merupakan perjuangan untuk mengakhiri adanya penindasan kepada para kaum perempuan, hal tersebut merupakan suatu gerakan dengan kesadaran yang bermula dari asumsi bahwa kaum perempuan mengalami diskriminasi, dalam kehidupan sosial juga bernegara banyak faktor yang memengaruhi terbentuknya hal tersebut. Sampai saat ini sistem bernegara mengabaikan atau memposisikan perempuan sebagai manusia kelas dua atau kedudukannya lebih rendah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bidi="th-TH"/>
        </w:rPr>
        <w:instrText>ADDIN CSL_CITATION {"citationItems":[{"id":"ITEM-1","itemData":{"author":[{"dropping-particle":"","family":"Ratna","given":"Saptasari","non-dropping-particle":"","parse-names":false,"suffix":""}],"id":"ITEM-1","issued":{"date-parts":[["1997"]]},"publisher":"Pustaka Utama Grafiti","publisher-place":"Jakarta","title":"Perempuan Kerja dan Perubahan Sosial","type":"book"},"uris":["http://www.mendeley.com/documents/?uuid=c2debc00-094f-44b0-a9f8-2c0501f6551c"]}],"mendeley":{"formattedCitation":"(Ratna, 1997)","plainTextFormattedCitation":"(Ratna, 1997)","previouslyFormattedCitation":"(Ratna, 1997)"},"properties":{"noteIndex":0},"schema":"https://github.com/citation-style-language/schema/raw/master/csl-citation.json"}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bidi="th-TH"/>
        </w:rPr>
        <w:t>(Ratna, 1997)</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bidi="th-TH"/>
        </w:rPr>
        <w:t xml:space="preserve">. </w:t>
      </w:r>
    </w:p>
    <w:p w14:paraId="375F2962" w14:textId="77777777" w:rsidR="00B9031A" w:rsidRPr="00B9031A" w:rsidRDefault="00B9031A" w:rsidP="00B9031A">
      <w:pPr>
        <w:keepNext/>
        <w:keepLines/>
        <w:numPr>
          <w:ilvl w:val="0"/>
          <w:numId w:val="11"/>
        </w:numPr>
        <w:spacing w:before="160" w:after="80" w:line="259" w:lineRule="auto"/>
        <w:ind w:left="709"/>
        <w:outlineLvl w:val="1"/>
        <w:rPr>
          <w:rFonts w:ascii="Times New Roman" w:eastAsia="DengXian Light" w:hAnsi="Times New Roman" w:cs="Angsana New"/>
          <w:color w:val="000000"/>
          <w:szCs w:val="40"/>
          <w:lang w:bidi="th-TH"/>
        </w:rPr>
      </w:pPr>
      <w:bookmarkStart w:id="15" w:name="_Toc208469580"/>
      <w:bookmarkStart w:id="16" w:name="_Toc208469864"/>
      <w:r w:rsidRPr="00B9031A">
        <w:rPr>
          <w:rFonts w:ascii="Times New Roman" w:eastAsia="DengXian Light" w:hAnsi="Times New Roman" w:cs="Angsana New"/>
          <w:color w:val="000000"/>
          <w:szCs w:val="40"/>
          <w:lang w:bidi="th-TH"/>
        </w:rPr>
        <w:t>Gender</w:t>
      </w:r>
      <w:bookmarkEnd w:id="15"/>
      <w:bookmarkEnd w:id="16"/>
    </w:p>
    <w:p w14:paraId="58C36A78" w14:textId="77777777" w:rsidR="00B9031A" w:rsidRPr="00B9031A" w:rsidRDefault="00B9031A" w:rsidP="00B9031A">
      <w:pPr>
        <w:spacing w:line="480" w:lineRule="auto"/>
        <w:ind w:left="72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 xml:space="preserve">Gender dapat diartikan sebagai jenis kelamin sosial atau konotasi masyarakat untuk menentukan peran sosial berdasarkan jenis kelamin. gender sebagai suatu sifat yang melekat pada kaum laki-laki maupun perempuan yang dikonstruksi secara sosial dan kultural. Istilah gender dibedakan dari istilah seks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bidi="th-TH"/>
        </w:rPr>
        <w:instrText>ADDIN CSL_CITATION {"citationItems":[{"id":"ITEM-1","itemData":{"author":[{"dropping-particle":"","family":"Mansour","given":"Fakih","non-dropping-particle":"","parse-names":false,"suffix":""}],"id":"ITEM-1","issued":{"date-parts":[["2008"]]},"publisher":"Pustaka Pelajar","publisher-place":"Yogyakarta","title":"Analisis Gender Dan Transformasi Sosial","type":"book"},"uris":["http://www.mendeley.com/documents/?uuid=af46edc0-d4fd-429d-bc34-6eed18cb8da7"]}],"mendeley":{"formattedCitation":"(Mansour, 2008)","plainTextFormattedCitation":"(Mansour, 2008)","previouslyFormattedCitation":"(Mansour, 2008)"},"properties":{"noteIndex":0},"schema":"https://github.com/citation-style-language/schema/raw/master/csl-citation.json"}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bidi="th-TH"/>
        </w:rPr>
        <w:t>(Mansour, 2008)</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bidi="th-TH"/>
        </w:rPr>
        <w:t xml:space="preserve">. </w:t>
      </w:r>
    </w:p>
    <w:p w14:paraId="5BD85D93" w14:textId="77777777" w:rsidR="00B9031A" w:rsidRPr="00B9031A" w:rsidRDefault="00B9031A" w:rsidP="00B9031A">
      <w:pPr>
        <w:spacing w:line="480" w:lineRule="auto"/>
        <w:ind w:left="72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 xml:space="preserve">Istilah gender merujuk kepada perbedaan karakter laki-laki dan perempuan berdasarkan kontruksi sosial budaya, yang berkaitan dengan sifat, status, posisi, dan perannya dalam masyarakat. Istilah Seks merujuk kepada perbedaan jenis kelamin laki-laki dan perempuan secara biologis terutama yang berkaitan dengan prokreasi dan reproduksi. Laki-laki dicirikan dengan adanya sperma dan penis serta perempuan dicirikan dengan adanya sel telur, rahim, vagina, dan payudara. Ciri jenis kelamin secara biologis tersebut bersifat bawaan, permanen, dan tidak dapat dipertukarkan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bidi="th-TH"/>
        </w:rPr>
        <w:instrText>ADDIN CSL_CITATION {"citationItems":[{"id":"ITEM-1","itemData":{"author":[{"dropping-particle":"","family":"Sugihastuti","given":"Itsna Hadi Saptiawan","non-dropping-particle":"","parse-names":false,"suffix":""}],"id":"ITEM-1","issued":{"date-parts":[["2007"]]},"publisher":"Yogyakarta : Pustaka Pelajar","title":"Gender dan Inferioritas Perempuan","type":"book"},"uris":["http://www.mendeley.com/documents/?uuid=94a4dac3-0385-4283-9ed9-45b864d02a21"]}],"mendeley":{"formattedCitation":"(Sugihastuti, 2007)","plainTextFormattedCitation":"(Sugihastuti, 2007)","previouslyFormattedCitation":"(Sugihastuti, 2007)"},"properties":{"noteIndex":0},"schema":"https://github.com/citation-style-language/schema/raw/master/csl-citation.json"}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bidi="th-TH"/>
        </w:rPr>
        <w:t>(Sugihastuti, 2007)</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bidi="th-TH"/>
        </w:rPr>
        <w:t>.</w:t>
      </w:r>
    </w:p>
    <w:p w14:paraId="168AC465" w14:textId="77777777" w:rsidR="00B9031A" w:rsidRPr="00B9031A" w:rsidRDefault="00B9031A" w:rsidP="00B9031A">
      <w:pPr>
        <w:spacing w:line="480" w:lineRule="auto"/>
        <w:ind w:left="72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lastRenderedPageBreak/>
        <w:t>Selanjutnya, yang dimaksud dengan gender adalah cara pandang atau persepsi manusia terhadap perempuan atau laki-laki yang bukan didasarkan pada perbedaan jenis kelamin secara kodrati biologis. Gender dalam segala aspek kehidupan manusia.</w:t>
      </w:r>
    </w:p>
    <w:p w14:paraId="649D110F" w14:textId="77777777" w:rsidR="00B9031A" w:rsidRPr="00B9031A" w:rsidRDefault="00B9031A" w:rsidP="00B9031A">
      <w:pPr>
        <w:keepNext/>
        <w:keepLines/>
        <w:numPr>
          <w:ilvl w:val="0"/>
          <w:numId w:val="12"/>
        </w:numPr>
        <w:spacing w:before="160" w:after="80" w:line="259" w:lineRule="auto"/>
        <w:ind w:left="709"/>
        <w:outlineLvl w:val="1"/>
        <w:rPr>
          <w:rFonts w:ascii="Times New Roman" w:eastAsia="DengXian Light" w:hAnsi="Times New Roman" w:cs="Angsana New"/>
          <w:color w:val="000000"/>
          <w:szCs w:val="40"/>
          <w:lang w:bidi="th-TH"/>
        </w:rPr>
      </w:pPr>
      <w:bookmarkStart w:id="17" w:name="_Toc208469581"/>
      <w:bookmarkStart w:id="18" w:name="_Toc208469865"/>
      <w:r w:rsidRPr="00B9031A">
        <w:rPr>
          <w:rFonts w:ascii="Times New Roman" w:eastAsia="DengXian Light" w:hAnsi="Times New Roman" w:cs="Angsana New"/>
          <w:color w:val="000000"/>
          <w:szCs w:val="40"/>
          <w:lang w:bidi="th-TH"/>
        </w:rPr>
        <w:t>Semiotika Roland Barthes</w:t>
      </w:r>
      <w:bookmarkEnd w:id="17"/>
      <w:bookmarkEnd w:id="18"/>
    </w:p>
    <w:p w14:paraId="78A45964"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val="fi-FI" w:bidi="th-TH"/>
        </w:rPr>
        <w:t xml:space="preserve">Semiotika merupakan metode yang digunakan untuk menganalisis makna yang diperoleh pada suatu tanda. Semiotika pertama kali berkembang dengan banyaknya penggunaan untuk mengkaji unsur-unsur tanda. </w:t>
      </w:r>
      <w:r w:rsidRPr="00B9031A">
        <w:rPr>
          <w:rFonts w:ascii="Times New Roman" w:eastAsia="Aptos" w:hAnsi="Times New Roman" w:cs="Times New Roman"/>
          <w:lang w:bidi="th-TH"/>
        </w:rPr>
        <w:t>Ferdinand De Saussure sebagai bapak semiotika modern, beliau membelah hubungan antara penanda (</w:t>
      </w:r>
      <w:r w:rsidRPr="00B9031A">
        <w:rPr>
          <w:rFonts w:ascii="Times New Roman" w:eastAsia="Aptos" w:hAnsi="Times New Roman" w:cs="Times New Roman"/>
          <w:i/>
          <w:iCs/>
          <w:lang w:bidi="th-TH"/>
        </w:rPr>
        <w:t>signifier</w:t>
      </w:r>
      <w:r w:rsidRPr="00B9031A">
        <w:rPr>
          <w:rFonts w:ascii="Times New Roman" w:eastAsia="Aptos" w:hAnsi="Times New Roman" w:cs="Times New Roman"/>
          <w:lang w:bidi="th-TH"/>
        </w:rPr>
        <w:t>) dan petanda (</w:t>
      </w:r>
      <w:r w:rsidRPr="00B9031A">
        <w:rPr>
          <w:rFonts w:ascii="Times New Roman" w:eastAsia="Aptos" w:hAnsi="Times New Roman" w:cs="Times New Roman"/>
          <w:i/>
          <w:iCs/>
          <w:lang w:bidi="th-TH"/>
        </w:rPr>
        <w:t>signified</w:t>
      </w:r>
      <w:r w:rsidRPr="00B9031A">
        <w:rPr>
          <w:rFonts w:ascii="Times New Roman" w:eastAsia="Aptos" w:hAnsi="Times New Roman" w:cs="Times New Roman"/>
          <w:lang w:bidi="th-TH"/>
        </w:rPr>
        <w:t xml:space="preserve">) berdasarkan kesepakatan yang disebut dengan signifikasi. Penanda dapat dilihat sebagai bentuk fisik seperti ide pada karya sastra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bidi="th-TH"/>
        </w:rPr>
        <w:instrText>ADDIN CSL_CITATION {"citationItems":[{"id":"ITEM-1","itemData":{"author":[{"dropping-particle":"","family":"Marcel","given":"Danesi","non-dropping-particle":"","parse-names":false,"suffix":""}],"id":"ITEM-1","issued":{"date-parts":[["2010"]]},"publisher":"Jalasutra","publisher-place":"Yogyakarta","title":"Pengantar Memahami Semiotika Media","type":"book"},"uris":["http://www.mendeley.com/documents/?uuid=9c50eb2b-bc28-4495-bc3e-01197e480be2"]}],"mendeley":{"formattedCitation":"(Marcel, 2010)","plainTextFormattedCitation":"(Marcel, 2010)","previouslyFormattedCitation":"(Marcel, 2010)"},"properties":{"noteIndex":0},"schema":"https://github.com/citation-style-language/schema/raw/master/csl-citation.json"}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bidi="th-TH"/>
        </w:rPr>
        <w:t>(Marcel, 2010)</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bidi="th-TH"/>
        </w:rPr>
        <w:t>.</w:t>
      </w:r>
    </w:p>
    <w:p w14:paraId="54065593"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val="fi-FI" w:bidi="th-TH"/>
        </w:rPr>
      </w:pPr>
      <w:r w:rsidRPr="00B9031A">
        <w:rPr>
          <w:rFonts w:ascii="Times New Roman" w:eastAsia="Aptos" w:hAnsi="Times New Roman" w:cs="Times New Roman"/>
          <w:lang w:bidi="th-TH"/>
        </w:rPr>
        <w:t xml:space="preserve"> Sedangkan petanda bisa dilihat menjadi makna di sebalik wujud fisik yang berupa nilai-nilai. </w:t>
      </w:r>
      <w:r w:rsidRPr="00B9031A">
        <w:rPr>
          <w:rFonts w:ascii="Times New Roman" w:eastAsia="Aptos" w:hAnsi="Times New Roman" w:cs="Times New Roman"/>
          <w:lang w:val="fi-FI" w:bidi="th-TH"/>
        </w:rPr>
        <w:t xml:space="preserve">Mengenai ikatan yang signifikan berdasarkan atas konvensi sosial pada pemaknaan tanda. Semiotik dan linguistik merupakan hubungan yang harus dimengerti kenyataan sebenarnya dengan adanya ikatan antara dua bidang tersebut yang dipusatkan kepada hakikat kata sebagai sebuah tanda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val="fi-FI" w:bidi="th-TH"/>
        </w:rPr>
        <w:instrText>ADDIN CSL_CITATION {"citationItems":[{"id":"ITEM-1","itemData":{"author":[{"dropping-particle":"","family":"Abdul","given":"Halik","non-dropping-particle":"","parse-names":false,"suffix":""}],"id":"ITEM-1","issued":{"date-parts":[["2012"]]},"publisher":"Alauddin University Press","publisher-place":"Makassar","title":"Tradisi Semiotika: Dalam Teori dan Penelitian Komunikasi","type":"book"},"uris":["http://www.mendeley.com/documents/?uuid=dfabccd2-3e93-44d6-add2-108ec1c258c5"]}],"mendeley":{"formattedCitation":"(Abdul, 2012)","plainTextFormattedCitation":"(Abdul, 2012)","previouslyFormattedCitation":"(Abdul, 2012)"},"properties":{"noteIndex":0},"schema":"https://github.com/citation-style-language/schema/raw/master/csl-citation.json"}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val="fi-FI" w:bidi="th-TH"/>
        </w:rPr>
        <w:t>(Abdul, 2012)</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val="fi-FI" w:bidi="th-TH"/>
        </w:rPr>
        <w:t>.</w:t>
      </w:r>
    </w:p>
    <w:p w14:paraId="120DD92C"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val="fi-FI" w:bidi="th-TH"/>
        </w:rPr>
        <w:t xml:space="preserve">Semiotika Roland Barthes mengembangkan pada dua kedudukan pertandaan, yaitu tingkat denotasi dan konotasi. </w:t>
      </w:r>
      <w:r w:rsidRPr="00B9031A">
        <w:rPr>
          <w:rFonts w:ascii="Times New Roman" w:eastAsia="Aptos" w:hAnsi="Times New Roman" w:cs="Times New Roman"/>
          <w:lang w:bidi="th-TH"/>
        </w:rPr>
        <w:t>Sumber terhadap penanda yang ditandai kerap disebut sebagai signifikasi tingkatan pertama (</w:t>
      </w:r>
      <w:r w:rsidRPr="00B9031A">
        <w:rPr>
          <w:rFonts w:ascii="Times New Roman" w:eastAsia="Aptos" w:hAnsi="Times New Roman" w:cs="Times New Roman"/>
          <w:i/>
          <w:iCs/>
          <w:lang w:bidi="th-TH"/>
        </w:rPr>
        <w:t>first order of signification</w:t>
      </w:r>
      <w:r w:rsidRPr="00B9031A">
        <w:rPr>
          <w:rFonts w:ascii="Times New Roman" w:eastAsia="Aptos" w:hAnsi="Times New Roman" w:cs="Times New Roman"/>
          <w:lang w:bidi="th-TH"/>
        </w:rPr>
        <w:t>) yaitu referensi denotasi. Maka dari itu, konotasi diberi sebutan sebagai sistem penanda pada tingkatan kedua (</w:t>
      </w:r>
      <w:r w:rsidRPr="00B9031A">
        <w:rPr>
          <w:rFonts w:ascii="Times New Roman" w:eastAsia="Aptos" w:hAnsi="Times New Roman" w:cs="Times New Roman"/>
          <w:i/>
          <w:iCs/>
          <w:lang w:bidi="th-TH"/>
        </w:rPr>
        <w:t>second order of system</w:t>
      </w:r>
      <w:r w:rsidRPr="00B9031A">
        <w:rPr>
          <w:rFonts w:ascii="Times New Roman" w:eastAsia="Aptos" w:hAnsi="Times New Roman" w:cs="Times New Roman"/>
          <w:lang w:bidi="th-TH"/>
        </w:rPr>
        <w:t xml:space="preserve">)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bidi="th-TH"/>
        </w:rPr>
        <w:instrText>ADDIN CSL_CITATION {"citationItems":[{"id":"ITEM-1","itemData":{"author":[{"dropping-particle":"","family":"Eco","given":"Umberto","non-dropping-particle":"","parse-names":false,"suffix":""}],"id":"ITEM-1","issued":{"date-parts":[["2019"]]},"publisher":"Kreasi Wacana","publisher-place":"Yogyakarta","title":"Teori Semiotika: Signifikasi Komunikasi, Teori Kode, Serta Teori Produksi - Tanda","type":"book"},"uris":["http://www.mendeley.com/documents/?uuid=da5b89be-6130-433e-86d9-84b8dc015302"]}],"mendeley":{"formattedCitation":"(Eco, 2019)","plainTextFormattedCitation":"(Eco, 2019)","previouslyFormattedCitation":"(Eco, 2019)"},"properties":{"noteIndex":0},"schema":"https://github.com/citation-style-language/schema/raw/master/csl-citation.json"}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bidi="th-TH"/>
        </w:rPr>
        <w:t>(Eco, 2019)</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bidi="th-TH"/>
        </w:rPr>
        <w:t xml:space="preserve">. </w:t>
      </w:r>
    </w:p>
    <w:p w14:paraId="38512E9F"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lastRenderedPageBreak/>
        <w:t>Dalam teori tersebut mempunyai proses perkembangan antara hubungan petanda (</w:t>
      </w:r>
      <w:r w:rsidRPr="00B9031A">
        <w:rPr>
          <w:rFonts w:ascii="Times New Roman" w:eastAsia="Aptos" w:hAnsi="Times New Roman" w:cs="Times New Roman"/>
          <w:i/>
          <w:iCs/>
          <w:lang w:bidi="th-TH"/>
        </w:rPr>
        <w:t>signified</w:t>
      </w:r>
      <w:r w:rsidRPr="00B9031A">
        <w:rPr>
          <w:rFonts w:ascii="Times New Roman" w:eastAsia="Aptos" w:hAnsi="Times New Roman" w:cs="Times New Roman"/>
          <w:lang w:bidi="th-TH"/>
        </w:rPr>
        <w:t>) dan penanda (</w:t>
      </w:r>
      <w:r w:rsidRPr="00B9031A">
        <w:rPr>
          <w:rFonts w:ascii="Times New Roman" w:eastAsia="Aptos" w:hAnsi="Times New Roman" w:cs="Times New Roman"/>
          <w:i/>
          <w:iCs/>
          <w:lang w:bidi="th-TH"/>
        </w:rPr>
        <w:t>signifier</w:t>
      </w:r>
      <w:r w:rsidRPr="00B9031A">
        <w:rPr>
          <w:rFonts w:ascii="Times New Roman" w:eastAsia="Aptos" w:hAnsi="Times New Roman" w:cs="Times New Roman"/>
          <w:lang w:bidi="th-TH"/>
        </w:rPr>
        <w:t>) dengan denotasi dan juga konotasi. Denotasi yang sebagai penanda merupakan sebuah alat (</w:t>
      </w:r>
      <w:r w:rsidRPr="00B9031A">
        <w:rPr>
          <w:rFonts w:ascii="Times New Roman" w:eastAsia="Aptos" w:hAnsi="Times New Roman" w:cs="Times New Roman"/>
          <w:i/>
          <w:iCs/>
          <w:lang w:bidi="th-TH"/>
        </w:rPr>
        <w:t>actual function/object properties</w:t>
      </w:r>
      <w:r w:rsidRPr="00B9031A">
        <w:rPr>
          <w:rFonts w:ascii="Times New Roman" w:eastAsia="Aptos" w:hAnsi="Times New Roman" w:cs="Times New Roman"/>
          <w:lang w:bidi="th-TH"/>
        </w:rPr>
        <w:t>) dan secara konotasi penanda merupakan wujud dari suatu petanda. Petanda ini bisa berbentuk makna, konsep, dan gagasan, sedangkan penanda adalah alat untuk memberikan gambaran yang berupa penjelasan fisik objek, kondisi objek, juga cenderung kepada ciri-ciri bentuk. Tak lain pada alat yang merupakan wujud dari benda.</w:t>
      </w:r>
    </w:p>
    <w:p w14:paraId="1D766819"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Roland Barthes memberikan gagasan tentang konotasi dan denotasi sebagai kunci dari analisisnya. Ia memakai sudut pandang yang tidak secara berlebihan disaat membicarakan model tanda glossematic (</w:t>
      </w:r>
      <w:r w:rsidRPr="00B9031A">
        <w:rPr>
          <w:rFonts w:ascii="Times New Roman" w:eastAsia="Aptos" w:hAnsi="Times New Roman" w:cs="Times New Roman"/>
          <w:i/>
          <w:iCs/>
          <w:lang w:bidi="th-TH"/>
        </w:rPr>
        <w:t>glossematics sign</w:t>
      </w:r>
      <w:r w:rsidRPr="00B9031A">
        <w:rPr>
          <w:rFonts w:ascii="Times New Roman" w:eastAsia="Aptos" w:hAnsi="Times New Roman" w:cs="Times New Roman"/>
          <w:lang w:bidi="th-TH"/>
        </w:rPr>
        <w:t>). Tidak memedulikan kepada dimensi dari wujud dan substansi, Roland Barthes memberikan definisi bahwa sebuah tanda (</w:t>
      </w:r>
      <w:r w:rsidRPr="00B9031A">
        <w:rPr>
          <w:rFonts w:ascii="Times New Roman" w:eastAsia="Aptos" w:hAnsi="Times New Roman" w:cs="Times New Roman"/>
          <w:i/>
          <w:iCs/>
          <w:lang w:bidi="th-TH"/>
        </w:rPr>
        <w:t>sign</w:t>
      </w:r>
      <w:r w:rsidRPr="00B9031A">
        <w:rPr>
          <w:rFonts w:ascii="Times New Roman" w:eastAsia="Aptos" w:hAnsi="Times New Roman" w:cs="Times New Roman"/>
          <w:lang w:bidi="th-TH"/>
        </w:rPr>
        <w:t xml:space="preserve">) sebagai sebuah sistem yang terdiri dari (E) sebuah ekspresi atau </w:t>
      </w:r>
      <w:r w:rsidRPr="00B9031A">
        <w:rPr>
          <w:rFonts w:ascii="Times New Roman" w:eastAsia="Aptos" w:hAnsi="Times New Roman" w:cs="Times New Roman"/>
          <w:i/>
          <w:iCs/>
          <w:lang w:bidi="th-TH"/>
        </w:rPr>
        <w:t xml:space="preserve">signifier </w:t>
      </w:r>
      <w:r w:rsidRPr="00B9031A">
        <w:rPr>
          <w:rFonts w:ascii="Times New Roman" w:eastAsia="Aptos" w:hAnsi="Times New Roman" w:cs="Times New Roman"/>
          <w:lang w:bidi="th-TH"/>
        </w:rPr>
        <w:t xml:space="preserve">dalam hubungannya (R) dengan </w:t>
      </w:r>
      <w:r w:rsidRPr="00B9031A">
        <w:rPr>
          <w:rFonts w:ascii="Times New Roman" w:eastAsia="Aptos" w:hAnsi="Times New Roman" w:cs="Times New Roman"/>
          <w:i/>
          <w:iCs/>
          <w:lang w:bidi="th-TH"/>
        </w:rPr>
        <w:t xml:space="preserve">content </w:t>
      </w:r>
      <w:r w:rsidRPr="00B9031A">
        <w:rPr>
          <w:rFonts w:ascii="Times New Roman" w:eastAsia="Aptos" w:hAnsi="Times New Roman" w:cs="Times New Roman"/>
          <w:lang w:bidi="th-TH"/>
        </w:rPr>
        <w:t>(C)</w:t>
      </w:r>
      <w:r w:rsidRPr="00B9031A">
        <w:rPr>
          <w:rFonts w:ascii="Times New Roman" w:eastAsia="Aptos" w:hAnsi="Times New Roman" w:cs="Times New Roman"/>
          <w:i/>
          <w:iCs/>
          <w:lang w:bidi="th-TH"/>
        </w:rPr>
        <w:t xml:space="preserve"> </w:t>
      </w:r>
      <w:r w:rsidRPr="00B9031A">
        <w:rPr>
          <w:rFonts w:ascii="Times New Roman" w:eastAsia="Aptos" w:hAnsi="Times New Roman" w:cs="Times New Roman"/>
          <w:lang w:bidi="th-TH"/>
        </w:rPr>
        <w:t xml:space="preserve">atau </w:t>
      </w:r>
      <w:r w:rsidRPr="00B9031A">
        <w:rPr>
          <w:rFonts w:ascii="Times New Roman" w:eastAsia="Aptos" w:hAnsi="Times New Roman" w:cs="Times New Roman"/>
          <w:i/>
          <w:iCs/>
          <w:lang w:bidi="th-TH"/>
        </w:rPr>
        <w:t>signified</w:t>
      </w:r>
      <w:r w:rsidRPr="00B9031A">
        <w:rPr>
          <w:rFonts w:ascii="Times New Roman" w:eastAsia="Aptos" w:hAnsi="Times New Roman" w:cs="Times New Roman"/>
          <w:lang w:bidi="th-TH"/>
        </w:rPr>
        <w:t>. Suatu sistem tanda primer (</w:t>
      </w:r>
      <w:r w:rsidRPr="00B9031A">
        <w:rPr>
          <w:rFonts w:ascii="Times New Roman" w:eastAsia="Aptos" w:hAnsi="Times New Roman" w:cs="Times New Roman"/>
          <w:i/>
          <w:iCs/>
          <w:lang w:bidi="th-TH"/>
        </w:rPr>
        <w:t>primary sign system</w:t>
      </w:r>
      <w:r w:rsidRPr="00B9031A">
        <w:rPr>
          <w:rFonts w:ascii="Times New Roman" w:eastAsia="Aptos" w:hAnsi="Times New Roman" w:cs="Times New Roman"/>
          <w:lang w:bidi="th-TH"/>
        </w:rPr>
        <w:t xml:space="preserve">) bisa menjadi sebuah elemen dari sebuah sistem dengan tanda yang lebih lengkap dan mempunyai makna yang berbeda dibanding seperti yang dahulu. Meskipun begitu, </w:t>
      </w:r>
      <w:r w:rsidRPr="00B9031A">
        <w:rPr>
          <w:rFonts w:ascii="Times New Roman" w:eastAsia="Aptos" w:hAnsi="Times New Roman" w:cs="Times New Roman"/>
          <w:i/>
          <w:iCs/>
          <w:lang w:bidi="th-TH"/>
        </w:rPr>
        <w:t xml:space="preserve">primary sign </w:t>
      </w:r>
      <w:r w:rsidRPr="00B9031A">
        <w:rPr>
          <w:rFonts w:ascii="Times New Roman" w:eastAsia="Aptos" w:hAnsi="Times New Roman" w:cs="Times New Roman"/>
          <w:lang w:bidi="th-TH"/>
        </w:rPr>
        <w:t xml:space="preserve">merupakan </w:t>
      </w:r>
      <w:r w:rsidRPr="00B9031A">
        <w:rPr>
          <w:rFonts w:ascii="Times New Roman" w:eastAsia="Aptos" w:hAnsi="Times New Roman" w:cs="Times New Roman"/>
          <w:i/>
          <w:iCs/>
          <w:lang w:bidi="th-TH"/>
        </w:rPr>
        <w:t xml:space="preserve">denotative </w:t>
      </w:r>
      <w:r w:rsidRPr="00B9031A">
        <w:rPr>
          <w:rFonts w:ascii="Times New Roman" w:eastAsia="Aptos" w:hAnsi="Times New Roman" w:cs="Times New Roman"/>
          <w:lang w:bidi="th-TH"/>
        </w:rPr>
        <w:t xml:space="preserve">sedangkan </w:t>
      </w:r>
      <w:r w:rsidRPr="00B9031A">
        <w:rPr>
          <w:rFonts w:ascii="Times New Roman" w:eastAsia="Aptos" w:hAnsi="Times New Roman" w:cs="Times New Roman"/>
          <w:i/>
          <w:iCs/>
          <w:lang w:bidi="th-TH"/>
        </w:rPr>
        <w:t xml:space="preserve">secondary sign </w:t>
      </w:r>
      <w:r w:rsidRPr="00B9031A">
        <w:rPr>
          <w:rFonts w:ascii="Times New Roman" w:eastAsia="Aptos" w:hAnsi="Times New Roman" w:cs="Times New Roman"/>
          <w:lang w:bidi="th-TH"/>
        </w:rPr>
        <w:t xml:space="preserve">adalah satu dari </w:t>
      </w:r>
      <w:r w:rsidRPr="00B9031A">
        <w:rPr>
          <w:rFonts w:ascii="Times New Roman" w:eastAsia="Aptos" w:hAnsi="Times New Roman" w:cs="Times New Roman"/>
          <w:i/>
          <w:iCs/>
          <w:lang w:bidi="th-TH"/>
        </w:rPr>
        <w:t xml:space="preserve">connotative semiotics </w:t>
      </w:r>
      <w:r w:rsidRPr="00B9031A">
        <w:rPr>
          <w:rFonts w:ascii="Times New Roman" w:eastAsia="Aptos" w:hAnsi="Times New Roman" w:cs="Times New Roman"/>
          <w:i/>
          <w:iCs/>
          <w:lang w:bidi="th-TH"/>
        </w:rPr>
        <w:fldChar w:fldCharType="begin" w:fldLock="1"/>
      </w:r>
      <w:r w:rsidRPr="00B9031A">
        <w:rPr>
          <w:rFonts w:ascii="Times New Roman" w:eastAsia="Aptos" w:hAnsi="Times New Roman" w:cs="Times New Roman"/>
          <w:i/>
          <w:iCs/>
          <w:lang w:bidi="th-TH"/>
        </w:rPr>
        <w:instrText>ADDIN CSL_CITATION {"citationItems":[{"id":"ITEM-1","itemData":{"author":[{"dropping-particle":"","family":"Wibowo","given":"Indiwan Seto Wahyu","non-dropping-particle":"","parse-names":false,"suffix":""}],"id":"ITEM-1","issued":{"date-parts":[["2013"]]},"publisher":"Mitra Wacana Media","publisher-place":"Jakarta","title":"Semiotika Komunikasi : Aplikasi Praktis Bagi Penelitian dan Skripsi Komunikasi","type":"book"},"uris":["http://www.mendeley.com/documents/?uuid=87ab7e56-cd8f-4045-8cee-ffe3001e37bc"]}],"mendeley":{"formattedCitation":"(Wibowo, 2013)","plainTextFormattedCitation":"(Wibowo, 2013)","previouslyFormattedCitation":"(Wibowo, 2013)"},"properties":{"noteIndex":0},"schema":"https://github.com/citation-style-language/schema/raw/master/csl-citation.json"}</w:instrText>
      </w:r>
      <w:r w:rsidRPr="00B9031A">
        <w:rPr>
          <w:rFonts w:ascii="Times New Roman" w:eastAsia="Aptos" w:hAnsi="Times New Roman" w:cs="Times New Roman"/>
          <w:i/>
          <w:iCs/>
          <w:lang w:bidi="th-TH"/>
        </w:rPr>
        <w:fldChar w:fldCharType="separate"/>
      </w:r>
      <w:r w:rsidRPr="00B9031A">
        <w:rPr>
          <w:rFonts w:ascii="Times New Roman" w:eastAsia="Aptos" w:hAnsi="Times New Roman" w:cs="Times New Roman"/>
          <w:iCs/>
          <w:noProof/>
          <w:lang w:bidi="th-TH"/>
        </w:rPr>
        <w:t>(Wibowo, 2013)</w:t>
      </w:r>
      <w:r w:rsidRPr="00B9031A">
        <w:rPr>
          <w:rFonts w:ascii="Times New Roman" w:eastAsia="Aptos" w:hAnsi="Times New Roman" w:cs="Times New Roman"/>
          <w:i/>
          <w:iCs/>
          <w:lang w:bidi="th-TH"/>
        </w:rPr>
        <w:fldChar w:fldCharType="end"/>
      </w:r>
      <w:r w:rsidRPr="00B9031A">
        <w:rPr>
          <w:rFonts w:ascii="Times New Roman" w:eastAsia="Aptos" w:hAnsi="Times New Roman" w:cs="Times New Roman"/>
          <w:lang w:bidi="th-TH"/>
        </w:rPr>
        <w:t>.</w:t>
      </w:r>
    </w:p>
    <w:p w14:paraId="628454DB"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 xml:space="preserve">Konsep konotatif ini yang dipilih untuk menjadi kunci penting pada model semiotika Roland Barthes. Pada model tersebut Roland Barthes memberikan pemahaman bahwa signifikasi urutan yang pertama </w:t>
      </w:r>
      <w:r w:rsidRPr="00B9031A">
        <w:rPr>
          <w:rFonts w:ascii="Times New Roman" w:eastAsia="Aptos" w:hAnsi="Times New Roman" w:cs="Times New Roman"/>
          <w:lang w:bidi="th-TH"/>
        </w:rPr>
        <w:lastRenderedPageBreak/>
        <w:t xml:space="preserve">merupakan ikatan antar </w:t>
      </w:r>
      <w:r w:rsidRPr="00B9031A">
        <w:rPr>
          <w:rFonts w:ascii="Times New Roman" w:eastAsia="Aptos" w:hAnsi="Times New Roman" w:cs="Times New Roman"/>
          <w:i/>
          <w:iCs/>
          <w:lang w:bidi="th-TH"/>
        </w:rPr>
        <w:t xml:space="preserve">signifier </w:t>
      </w:r>
      <w:r w:rsidRPr="00B9031A">
        <w:rPr>
          <w:rFonts w:ascii="Times New Roman" w:eastAsia="Aptos" w:hAnsi="Times New Roman" w:cs="Times New Roman"/>
          <w:lang w:bidi="th-TH"/>
        </w:rPr>
        <w:t xml:space="preserve">(ekspresi), dan </w:t>
      </w:r>
      <w:r w:rsidRPr="00B9031A">
        <w:rPr>
          <w:rFonts w:ascii="Times New Roman" w:eastAsia="Aptos" w:hAnsi="Times New Roman" w:cs="Times New Roman"/>
          <w:i/>
          <w:iCs/>
          <w:lang w:bidi="th-TH"/>
        </w:rPr>
        <w:t xml:space="preserve">signified </w:t>
      </w:r>
      <w:r w:rsidRPr="00B9031A">
        <w:rPr>
          <w:rFonts w:ascii="Times New Roman" w:eastAsia="Aptos" w:hAnsi="Times New Roman" w:cs="Times New Roman"/>
          <w:lang w:bidi="th-TH"/>
        </w:rPr>
        <w:t>(</w:t>
      </w:r>
      <w:r w:rsidRPr="00B9031A">
        <w:rPr>
          <w:rFonts w:ascii="Times New Roman" w:eastAsia="Aptos" w:hAnsi="Times New Roman" w:cs="Times New Roman"/>
          <w:i/>
          <w:iCs/>
          <w:lang w:bidi="th-TH"/>
        </w:rPr>
        <w:t>content</w:t>
      </w:r>
      <w:r w:rsidRPr="00B9031A">
        <w:rPr>
          <w:rFonts w:ascii="Times New Roman" w:eastAsia="Aptos" w:hAnsi="Times New Roman" w:cs="Times New Roman"/>
          <w:lang w:bidi="th-TH"/>
        </w:rPr>
        <w:t>) di dalam sebuah tanda kepada kenyataan eksternal. Maka dari hal tersebut ia menyebut denotasi yaitu makna yang paling nyata dari tanda (</w:t>
      </w:r>
      <w:r w:rsidRPr="00B9031A">
        <w:rPr>
          <w:rFonts w:ascii="Times New Roman" w:eastAsia="Aptos" w:hAnsi="Times New Roman" w:cs="Times New Roman"/>
          <w:i/>
          <w:iCs/>
          <w:lang w:bidi="th-TH"/>
        </w:rPr>
        <w:t>sign</w:t>
      </w:r>
      <w:r w:rsidRPr="00B9031A">
        <w:rPr>
          <w:rFonts w:ascii="Times New Roman" w:eastAsia="Aptos" w:hAnsi="Times New Roman" w:cs="Times New Roman"/>
          <w:lang w:bidi="th-TH"/>
        </w:rPr>
        <w:t xml:space="preserve">). </w:t>
      </w:r>
    </w:p>
    <w:p w14:paraId="09B8443B"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val="fi-FI" w:bidi="th-TH"/>
        </w:rPr>
      </w:pPr>
      <w:r w:rsidRPr="00B9031A">
        <w:rPr>
          <w:rFonts w:ascii="Times New Roman" w:eastAsia="Aptos" w:hAnsi="Times New Roman" w:cs="Times New Roman"/>
          <w:lang w:val="fi-FI" w:bidi="th-TH"/>
        </w:rPr>
        <w:t>Dan konotasi merupakan istilah dari yang digunakan oleh Roland Barthes untuk memperlihatkan signifikasi pada tahap kedua. Hal tersebut menceritakan hubungan yang terjadi ketika tanda bertemu dengan perasaan atau emosi dari pembaca serta nilai-nilai yang ada dari kebudayaannya.</w:t>
      </w:r>
    </w:p>
    <w:p w14:paraId="7D1E49C5"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val="fi-FI" w:bidi="th-TH"/>
        </w:rPr>
      </w:pPr>
      <w:r w:rsidRPr="00B9031A">
        <w:rPr>
          <w:rFonts w:ascii="Times New Roman" w:eastAsia="Aptos" w:hAnsi="Times New Roman" w:cs="Times New Roman"/>
          <w:lang w:val="fi-FI" w:bidi="th-TH"/>
        </w:rPr>
        <w:t>Sebagai dasar penelitian, peneliti menggunakan teori Roland Barthes, karena di dalam teori tersebut menyebutkan bahwa semiotika mempunyai tujuan guna menerjemahkan dan menginterpretasikan tanda (</w:t>
      </w:r>
      <w:r w:rsidRPr="00B9031A">
        <w:rPr>
          <w:rFonts w:ascii="Times New Roman" w:eastAsia="Aptos" w:hAnsi="Times New Roman" w:cs="Times New Roman"/>
          <w:i/>
          <w:iCs/>
          <w:lang w:val="fi-FI" w:bidi="th-TH"/>
        </w:rPr>
        <w:t>sign</w:t>
      </w:r>
      <w:r w:rsidRPr="00B9031A">
        <w:rPr>
          <w:rFonts w:ascii="Times New Roman" w:eastAsia="Aptos" w:hAnsi="Times New Roman" w:cs="Times New Roman"/>
          <w:lang w:val="fi-FI" w:bidi="th-TH"/>
        </w:rPr>
        <w:t xml:space="preserve">) baik yang berbentuk verbal maupun nonverbal. </w:t>
      </w:r>
      <w:r w:rsidRPr="00B9031A">
        <w:rPr>
          <w:rFonts w:ascii="Times New Roman" w:eastAsia="Aptos" w:hAnsi="Times New Roman" w:cs="Times New Roman"/>
          <w:lang w:bidi="th-TH"/>
        </w:rPr>
        <w:t xml:space="preserve">Barthes memusatkan kajiannya pada aspek nonverbal seperti halnya </w:t>
      </w:r>
      <w:r w:rsidRPr="00B9031A">
        <w:rPr>
          <w:rFonts w:ascii="Times New Roman" w:eastAsia="Aptos" w:hAnsi="Times New Roman" w:cs="Times New Roman"/>
          <w:i/>
          <w:iCs/>
          <w:lang w:bidi="th-TH"/>
        </w:rPr>
        <w:t xml:space="preserve">cultural meaning </w:t>
      </w:r>
      <w:r w:rsidRPr="00B9031A">
        <w:rPr>
          <w:rFonts w:ascii="Times New Roman" w:eastAsia="Aptos" w:hAnsi="Times New Roman" w:cs="Times New Roman"/>
          <w:lang w:bidi="th-TH"/>
        </w:rPr>
        <w:t xml:space="preserve">dan </w:t>
      </w:r>
      <w:r w:rsidRPr="00B9031A">
        <w:rPr>
          <w:rFonts w:ascii="Times New Roman" w:eastAsia="Aptos" w:hAnsi="Times New Roman" w:cs="Times New Roman"/>
          <w:i/>
          <w:iCs/>
          <w:lang w:bidi="th-TH"/>
        </w:rPr>
        <w:t>visual sign</w:t>
      </w:r>
      <w:r w:rsidRPr="00B9031A">
        <w:rPr>
          <w:rFonts w:ascii="Times New Roman" w:eastAsia="Aptos" w:hAnsi="Times New Roman" w:cs="Times New Roman"/>
          <w:lang w:bidi="th-TH"/>
        </w:rPr>
        <w:t xml:space="preserve">. Selain itu dirinya memberikan penjelasan bahwa </w:t>
      </w:r>
      <w:r w:rsidRPr="00B9031A">
        <w:rPr>
          <w:rFonts w:ascii="Times New Roman" w:eastAsia="Aptos" w:hAnsi="Times New Roman" w:cs="Times New Roman"/>
          <w:i/>
          <w:iCs/>
          <w:lang w:bidi="th-TH"/>
        </w:rPr>
        <w:t xml:space="preserve">sign </w:t>
      </w:r>
      <w:r w:rsidRPr="00B9031A">
        <w:rPr>
          <w:rFonts w:ascii="Times New Roman" w:eastAsia="Aptos" w:hAnsi="Times New Roman" w:cs="Times New Roman"/>
          <w:lang w:bidi="th-TH"/>
        </w:rPr>
        <w:t xml:space="preserve">tidak dapat untuk berdiri sendiri, akan tetapi harus dibantu oleh </w:t>
      </w:r>
      <w:r w:rsidRPr="00B9031A">
        <w:rPr>
          <w:rFonts w:ascii="Times New Roman" w:eastAsia="Aptos" w:hAnsi="Times New Roman" w:cs="Times New Roman"/>
          <w:i/>
          <w:iCs/>
          <w:lang w:bidi="th-TH"/>
        </w:rPr>
        <w:t xml:space="preserve">signifier </w:t>
      </w:r>
      <w:r w:rsidRPr="00B9031A">
        <w:rPr>
          <w:rFonts w:ascii="Times New Roman" w:eastAsia="Aptos" w:hAnsi="Times New Roman" w:cs="Times New Roman"/>
          <w:lang w:bidi="th-TH"/>
        </w:rPr>
        <w:t>dan</w:t>
      </w:r>
      <w:r w:rsidRPr="00B9031A">
        <w:rPr>
          <w:rFonts w:ascii="Times New Roman" w:eastAsia="Aptos" w:hAnsi="Times New Roman" w:cs="Times New Roman"/>
          <w:i/>
          <w:iCs/>
          <w:lang w:bidi="th-TH"/>
        </w:rPr>
        <w:t xml:space="preserve"> signified</w:t>
      </w:r>
      <w:r w:rsidRPr="00B9031A">
        <w:rPr>
          <w:rFonts w:ascii="Times New Roman" w:eastAsia="Aptos" w:hAnsi="Times New Roman" w:cs="Times New Roman"/>
          <w:lang w:bidi="th-TH"/>
        </w:rPr>
        <w:t xml:space="preserve">. </w:t>
      </w:r>
      <w:r w:rsidRPr="00B9031A">
        <w:rPr>
          <w:rFonts w:ascii="Times New Roman" w:eastAsia="Aptos" w:hAnsi="Times New Roman" w:cs="Times New Roman"/>
          <w:i/>
          <w:iCs/>
          <w:lang w:bidi="th-TH"/>
        </w:rPr>
        <w:t xml:space="preserve">Signifier </w:t>
      </w:r>
      <w:r w:rsidRPr="00B9031A">
        <w:rPr>
          <w:rFonts w:ascii="Times New Roman" w:eastAsia="Aptos" w:hAnsi="Times New Roman" w:cs="Times New Roman"/>
          <w:lang w:bidi="th-TH"/>
        </w:rPr>
        <w:t xml:space="preserve">merupakan objek yang bisa kita lihat, dan </w:t>
      </w:r>
      <w:r w:rsidRPr="00B9031A">
        <w:rPr>
          <w:rFonts w:ascii="Times New Roman" w:eastAsia="Aptos" w:hAnsi="Times New Roman" w:cs="Times New Roman"/>
          <w:i/>
          <w:iCs/>
          <w:lang w:bidi="th-TH"/>
        </w:rPr>
        <w:t xml:space="preserve">signified </w:t>
      </w:r>
      <w:r w:rsidRPr="00B9031A">
        <w:rPr>
          <w:rFonts w:ascii="Times New Roman" w:eastAsia="Aptos" w:hAnsi="Times New Roman" w:cs="Times New Roman"/>
          <w:lang w:bidi="th-TH"/>
        </w:rPr>
        <w:t xml:space="preserve">adalah makna yang sudah pasti atau ditetapkan. </w:t>
      </w:r>
      <w:r w:rsidRPr="00B9031A">
        <w:rPr>
          <w:rFonts w:ascii="Times New Roman" w:eastAsia="Aptos" w:hAnsi="Times New Roman" w:cs="Times New Roman"/>
          <w:lang w:val="fi-FI" w:bidi="th-TH"/>
        </w:rPr>
        <w:t xml:space="preserve">Maka dalam teori mempelajari antara hubungan tanda dengan penggunanya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val="fi-FI" w:bidi="th-TH"/>
        </w:rPr>
        <w:instrText>ADDIN CSL_CITATION {"citationItems":[{"id":"ITEM-1","itemData":{"author":[{"dropping-particle":"","family":"Arif","given":"Prasetya Budi","non-dropping-particle":"","parse-names":false,"suffix":""}],"id":"ITEM-1","issued":{"date-parts":[["2019"]]},"publisher":"Intrans Publishing","publisher-place":"Malang","title":"Analisis Semiotika Film dan Komunikasi","type":"book"},"uris":["http://www.mendeley.com/documents/?uuid=637ccd8c-deca-46ab-ad97-5d913ff07686"]}],"mendeley":{"formattedCitation":"(Arif, 2019)","plainTextFormattedCitation":"(Arif, 2019)","previouslyFormattedCitation":"(Arif, 2019)"},"properties":{"noteIndex":0},"schema":"https://github.com/citation-style-language/schema/raw/master/csl-citation.json"}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val="fi-FI" w:bidi="th-TH"/>
        </w:rPr>
        <w:t>(Arif, 2019)</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val="fi-FI" w:bidi="th-TH"/>
        </w:rPr>
        <w:t>.</w:t>
      </w:r>
    </w:p>
    <w:p w14:paraId="0E010F91" w14:textId="77777777" w:rsidR="00B9031A" w:rsidRPr="00B9031A" w:rsidRDefault="00B9031A" w:rsidP="00B9031A">
      <w:pPr>
        <w:spacing w:after="0" w:line="360" w:lineRule="auto"/>
        <w:ind w:left="714" w:firstLine="279"/>
        <w:contextualSpacing/>
        <w:jc w:val="both"/>
        <w:rPr>
          <w:rFonts w:ascii="Times New Roman" w:eastAsia="Aptos" w:hAnsi="Times New Roman" w:cs="Times New Roman"/>
          <w:lang w:val="fi-FI" w:bidi="th-TH"/>
        </w:rPr>
      </w:pPr>
      <w:r w:rsidRPr="00B9031A">
        <w:rPr>
          <w:rFonts w:ascii="Times New Roman" w:eastAsia="Aptos" w:hAnsi="Times New Roman" w:cs="Times New Roman"/>
          <w:noProof/>
          <w:lang w:val="en-US"/>
        </w:rPr>
        <w:lastRenderedPageBreak/>
        <w:drawing>
          <wp:anchor distT="0" distB="0" distL="114300" distR="114300" simplePos="0" relativeHeight="251659264" behindDoc="1" locked="0" layoutInCell="1" allowOverlap="1" wp14:anchorId="68827963" wp14:editId="7077AA7F">
            <wp:simplePos x="0" y="0"/>
            <wp:positionH relativeFrom="margin">
              <wp:align>center</wp:align>
            </wp:positionH>
            <wp:positionV relativeFrom="paragraph">
              <wp:posOffset>677545</wp:posOffset>
            </wp:positionV>
            <wp:extent cx="4582795" cy="1784985"/>
            <wp:effectExtent l="0" t="0" r="8255" b="5715"/>
            <wp:wrapSquare wrapText="bothSides"/>
            <wp:docPr id="700499195" name="Picture 1" descr="Gambar 2 Peta Tanda Roland Bart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mbar 2 Peta Tanda Roland Barthes"/>
                    <pic:cNvPicPr>
                      <a:picLocks noChangeAspect="1" noChangeArrowheads="1"/>
                    </pic:cNvPicPr>
                  </pic:nvPicPr>
                  <pic:blipFill rotWithShape="1">
                    <a:blip r:embed="rId7">
                      <a:extLst>
                        <a:ext uri="{28A0092B-C50C-407E-A947-70E740481C1C}">
                          <a14:useLocalDpi xmlns:a14="http://schemas.microsoft.com/office/drawing/2010/main" val="0"/>
                        </a:ext>
                      </a:extLst>
                    </a:blip>
                    <a:srcRect l="897" r="-1"/>
                    <a:stretch/>
                  </pic:blipFill>
                  <pic:spPr bwMode="auto">
                    <a:xfrm>
                      <a:off x="0" y="0"/>
                      <a:ext cx="4582795" cy="17849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9031A">
        <w:rPr>
          <w:rFonts w:ascii="Times New Roman" w:eastAsia="Aptos" w:hAnsi="Times New Roman" w:cs="Times New Roman"/>
          <w:lang w:val="fi-FI" w:bidi="th-TH"/>
        </w:rPr>
        <w:t>Dalam teori semiotika model Roland Barthes mempunyai cara kerja dalam menganalisis makna, untuk penggambarannya sebagai berikut.</w:t>
      </w:r>
    </w:p>
    <w:p w14:paraId="59BEF109" w14:textId="77777777" w:rsidR="00B9031A" w:rsidRPr="00B9031A" w:rsidRDefault="00B9031A" w:rsidP="00B9031A">
      <w:pPr>
        <w:spacing w:after="0" w:line="360" w:lineRule="auto"/>
        <w:ind w:left="714" w:firstLine="279"/>
        <w:contextualSpacing/>
        <w:jc w:val="both"/>
        <w:rPr>
          <w:rFonts w:ascii="Times New Roman" w:eastAsia="Aptos" w:hAnsi="Times New Roman" w:cs="Times New Roman"/>
          <w:lang w:val="fi-FI" w:bidi="th-TH"/>
        </w:rPr>
      </w:pPr>
    </w:p>
    <w:p w14:paraId="0D31CB6D" w14:textId="77777777" w:rsidR="00B9031A" w:rsidRPr="00B9031A" w:rsidRDefault="00B9031A" w:rsidP="00B9031A">
      <w:pPr>
        <w:spacing w:after="0" w:line="360" w:lineRule="auto"/>
        <w:jc w:val="center"/>
        <w:rPr>
          <w:rFonts w:ascii="Times New Roman" w:eastAsia="Aptos" w:hAnsi="Times New Roman" w:cs="Times New Roman"/>
          <w:i/>
          <w:iCs/>
          <w:lang w:val="fi-FI" w:bidi="th-TH"/>
        </w:rPr>
      </w:pPr>
      <w:r w:rsidRPr="00B9031A">
        <w:rPr>
          <w:rFonts w:ascii="Times New Roman" w:eastAsia="Aptos" w:hAnsi="Times New Roman" w:cs="Times New Roman"/>
          <w:i/>
          <w:iCs/>
          <w:lang w:val="fi-FI" w:bidi="th-TH"/>
        </w:rPr>
        <w:t>Gambar 1. Peta Tanda Roland Barthes</w:t>
      </w:r>
    </w:p>
    <w:p w14:paraId="4A55D051" w14:textId="77777777" w:rsidR="00B9031A" w:rsidRPr="00B9031A" w:rsidRDefault="00B9031A" w:rsidP="00B9031A">
      <w:pPr>
        <w:spacing w:after="0" w:line="360" w:lineRule="auto"/>
        <w:jc w:val="center"/>
        <w:rPr>
          <w:rFonts w:ascii="Times New Roman" w:eastAsia="Aptos" w:hAnsi="Times New Roman" w:cs="Times New Roman"/>
          <w:i/>
          <w:iCs/>
          <w:lang w:val="fi-FI" w:bidi="th-TH"/>
        </w:rPr>
      </w:pPr>
    </w:p>
    <w:p w14:paraId="59258459" w14:textId="77777777" w:rsidR="00B9031A" w:rsidRPr="00B9031A" w:rsidRDefault="00B9031A" w:rsidP="00B9031A">
      <w:pPr>
        <w:spacing w:after="0" w:line="480" w:lineRule="auto"/>
        <w:ind w:left="720" w:firstLine="720"/>
        <w:jc w:val="both"/>
        <w:rPr>
          <w:rFonts w:ascii="Times New Roman" w:eastAsia="Aptos" w:hAnsi="Times New Roman" w:cs="Times New Roman"/>
          <w:lang w:val="fi-FI" w:bidi="th-TH"/>
        </w:rPr>
      </w:pPr>
      <w:r w:rsidRPr="00B9031A">
        <w:rPr>
          <w:rFonts w:ascii="Times New Roman" w:eastAsia="Aptos" w:hAnsi="Times New Roman" w:cs="Times New Roman"/>
          <w:lang w:val="fi-FI" w:bidi="th-TH"/>
        </w:rPr>
        <w:t xml:space="preserve">Pada gambaran peta tanda Roland Barthes memberikan maksud bahwa arti denotasi dikaitkan akan kehadiran penanda dan petanda. Demikian juga makna konotasi yang bersangkutan dengan tanda denotasi. Tanda konotasi sendiri mendenotasikan tanda berikutnya. Dalam pemaknaan tidak dapat berhenti pada satu titik. Tetapi, akan terus membuat tanda-tanda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val="fi-FI" w:bidi="th-TH"/>
        </w:rPr>
        <w:instrText>ADDIN CSL_CITATION {"citationItems":[{"id":"ITEM-1","itemData":{"ISBN":"9786021521410","abstract":"Buku ini memfokuskan diri pada semiotika komunikasi, yang berkaitan dengan penggunaan dan produksi tanda secara sosial di dalam proses komunikasi. Di dalamnya diuraikan secara komprehensif sistem-sistem tanda, penggunaan tanda secara sosial di dalam berbagai media komunikasi (iklan, sastra, komik, musik, film, dsb). Keistimewaan buku ini adalah dilengkapi dengan berbagai pemikiran dari tokoh-tokoh semiotika dunia.","author":[{"dropping-particle":"","family":"Alex","given":"Sobur","non-dropping-particle":"","parse-names":false,"suffix":""}],"id":"ITEM-1","issued":{"date-parts":[["2013"]]},"number-of-pages":"243","publisher":"Remaja Rosdakarya","publisher-place":"Bandung","title":"Semiotika Komunikasi","type":"book"},"uris":["http://www.mendeley.com/documents/?uuid=44977723-857d-4424-8ca0-50fe308d571f"]}],"mendeley":{"formattedCitation":"(Alex, 2013)","plainTextFormattedCitation":"(Alex, 2013)","previouslyFormattedCitation":"(Alex, 2013)"},"properties":{"noteIndex":0},"schema":"https://github.com/citation-style-language/schema/raw/master/csl-citation.json"}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val="fi-FI" w:bidi="th-TH"/>
        </w:rPr>
        <w:t>(Alex, 2013)</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val="fi-FI" w:bidi="th-TH"/>
        </w:rPr>
        <w:t>.</w:t>
      </w:r>
    </w:p>
    <w:p w14:paraId="0F532AC5" w14:textId="77777777" w:rsidR="00B9031A" w:rsidRPr="00B9031A" w:rsidRDefault="00B9031A" w:rsidP="00B9031A">
      <w:pPr>
        <w:spacing w:after="0" w:line="480" w:lineRule="auto"/>
        <w:ind w:left="720" w:firstLine="720"/>
        <w:jc w:val="both"/>
        <w:rPr>
          <w:rFonts w:ascii="Times New Roman" w:eastAsia="Aptos" w:hAnsi="Times New Roman" w:cs="Times New Roman"/>
          <w:lang w:val="fi-FI" w:bidi="th-TH"/>
        </w:rPr>
      </w:pPr>
      <w:r w:rsidRPr="00B9031A">
        <w:rPr>
          <w:rFonts w:ascii="Times New Roman" w:eastAsia="Aptos" w:hAnsi="Times New Roman" w:cs="Times New Roman"/>
          <w:lang w:val="fi-FI" w:bidi="th-TH"/>
        </w:rPr>
        <w:t xml:space="preserve">Roland Barthes mempunyai pendapat bahwa denotasi sebagai sistem signifikasi yang terdapat pada tingkat pertama dan konotasi ada di tingkat kedua setelah denotasi. Padahal makna konotasi dipandang secara identik dengan paham yang sering disebut dengan mitos di mana mempunyai kegunaan untuk mengemukakan dan juga memberikan validasi bagi nilai unggul yang masih berlangsung dalam periode tertentu. Konotasi juga mempunyai makna seperti maksud konotasional, makna emotif, dan makna evaluatif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val="fi-FI" w:bidi="th-TH"/>
        </w:rPr>
        <w:instrText>ADDIN CSL_CITATION {"citationItems":[{"id":"ITEM-1","itemData":{"author":[{"dropping-particle":"","family":"Nazaruddin","given":"Kahfie","non-dropping-particle":"","parse-names":false,"suffix":""}],"id":"ITEM-1","issued":{"date-parts":[["2015"]]},"publisher":"Graha Ilmu","publisher-place":"Yogyakarta","title":"Pengantar Semiotika","type":"book"},"uris":["http://www.mendeley.com/documents/?uuid=d0bf9a9e-23b1-4687-891b-5afbd13ab79f"]}],"mendeley":{"formattedCitation":"(Nazaruddin, 2015)","plainTextFormattedCitation":"(Nazaruddin, 2015)","previouslyFormattedCitation":"(Nazaruddin, 2015)"},"properties":{"noteIndex":0},"schema":"https://github.com/citation-style-language/schema/raw/master/csl-citation.json"}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val="fi-FI" w:bidi="th-TH"/>
        </w:rPr>
        <w:t>(Nazaruddin, 2015)</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val="fi-FI" w:bidi="th-TH"/>
        </w:rPr>
        <w:t>.</w:t>
      </w:r>
    </w:p>
    <w:p w14:paraId="049C7248" w14:textId="77777777" w:rsidR="00B9031A" w:rsidRPr="00B9031A" w:rsidRDefault="00B9031A" w:rsidP="00B9031A">
      <w:pPr>
        <w:spacing w:after="0" w:line="480" w:lineRule="auto"/>
        <w:ind w:left="720" w:firstLine="720"/>
        <w:jc w:val="both"/>
        <w:rPr>
          <w:rFonts w:ascii="Times New Roman" w:eastAsia="Aptos" w:hAnsi="Times New Roman" w:cs="Times New Roman"/>
          <w:lang w:val="fi-FI" w:bidi="th-TH"/>
        </w:rPr>
      </w:pPr>
      <w:r w:rsidRPr="00B9031A">
        <w:rPr>
          <w:rFonts w:ascii="Times New Roman" w:eastAsia="Aptos" w:hAnsi="Times New Roman" w:cs="Times New Roman"/>
          <w:lang w:val="fi-FI" w:bidi="th-TH"/>
        </w:rPr>
        <w:lastRenderedPageBreak/>
        <w:t>Di sisi lain, denotasi merupakan sistem signifikasi tingkatan pertama sementara konotasi merupakan sistem signifikasi pada tingkatan kedua. Pada signifikasi tahap kedua yang berkaitan dengan isi, tanda tersebut bekerja melalui mitos. Mitos merupakan penjelasan yang berkenaan dengan bagaimana suatu kebudayaan memahami aspek tentang kenyataan atau sesuatu yang terdiri secara mengandung kebenaran dan juga gejala alam.</w:t>
      </w:r>
    </w:p>
    <w:p w14:paraId="00D8D5CE" w14:textId="77777777" w:rsidR="00B9031A" w:rsidRPr="00B9031A" w:rsidRDefault="00B9031A" w:rsidP="00B9031A">
      <w:pPr>
        <w:spacing w:after="0" w:line="480" w:lineRule="auto"/>
        <w:ind w:left="720" w:firstLine="720"/>
        <w:jc w:val="both"/>
        <w:rPr>
          <w:rFonts w:ascii="Times New Roman" w:eastAsia="Aptos" w:hAnsi="Times New Roman" w:cs="Times New Roman"/>
          <w:lang w:val="fi-FI" w:bidi="th-TH"/>
        </w:rPr>
      </w:pPr>
      <w:r w:rsidRPr="00B9031A">
        <w:rPr>
          <w:rFonts w:ascii="Times New Roman" w:eastAsia="Aptos" w:hAnsi="Times New Roman" w:cs="Times New Roman"/>
          <w:lang w:val="fi-FI" w:bidi="th-TH"/>
        </w:rPr>
        <w:t>Denotasi dipandang Roland Barthes sebagai tingkatan pertama, mempunyai arti yang bersifat tidak terbuka, makna yang konkret, makna yang disetujui serentak secara sosial, dengan tumpuannya kepada kenyataan. Roland Barthes menggambarkan bahwa signifikasi pada tingkatan pertama yaitu interaksi yang terjadi antara petanda (</w:t>
      </w:r>
      <w:r w:rsidRPr="00B9031A">
        <w:rPr>
          <w:rFonts w:ascii="Times New Roman" w:eastAsia="Aptos" w:hAnsi="Times New Roman" w:cs="Times New Roman"/>
          <w:i/>
          <w:iCs/>
          <w:lang w:val="fi-FI" w:bidi="th-TH"/>
        </w:rPr>
        <w:t>signified</w:t>
      </w:r>
      <w:r w:rsidRPr="00B9031A">
        <w:rPr>
          <w:rFonts w:ascii="Times New Roman" w:eastAsia="Aptos" w:hAnsi="Times New Roman" w:cs="Times New Roman"/>
          <w:lang w:val="fi-FI" w:bidi="th-TH"/>
        </w:rPr>
        <w:t>) dan petanda (</w:t>
      </w:r>
      <w:r w:rsidRPr="00B9031A">
        <w:rPr>
          <w:rFonts w:ascii="Times New Roman" w:eastAsia="Aptos" w:hAnsi="Times New Roman" w:cs="Times New Roman"/>
          <w:i/>
          <w:iCs/>
          <w:lang w:val="fi-FI" w:bidi="th-TH"/>
        </w:rPr>
        <w:t>signifier</w:t>
      </w:r>
      <w:r w:rsidRPr="00B9031A">
        <w:rPr>
          <w:rFonts w:ascii="Times New Roman" w:eastAsia="Aptos" w:hAnsi="Times New Roman" w:cs="Times New Roman"/>
          <w:lang w:val="fi-FI" w:bidi="th-TH"/>
        </w:rPr>
        <w:t xml:space="preserve">) dalam suatu tanda yang berkenaan pada kenyataan eksternal. Dan konotasi dalam pandangan Roland Barthes merupakan tanda yang penandanya mempunyai makna yang terbuka atau pemaknaan yang tersirat, tidak pasti, dan tidak langsung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val="fi-FI" w:bidi="th-TH"/>
        </w:rPr>
        <w:instrText>ADDIN CSL_CITATION {"citationItems":[{"id":"ITEM-1","itemData":{"author":[{"dropping-particle":"","family":"Roland","given":"Barthes","non-dropping-particle":"","parse-names":false,"suffix":""}],"id":"ITEM-1","issued":{"date-parts":[["2017"]]},"publisher":"BasaBasi","publisher-place":"Yogyakarta","title":"Elemen-Elemen Semiologi","type":"book"},"uris":["http://www.mendeley.com/documents/?uuid=b954f91c-14a1-4991-9a0a-5fa02c2cbf9f"]}],"mendeley":{"formattedCitation":"(Roland, 2017)","plainTextFormattedCitation":"(Roland, 2017)","previouslyFormattedCitation":"(Roland, 2017)"},"properties":{"noteIndex":0},"schema":"https://github.com/citation-style-language/schema/raw/master/csl-citation.json"}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val="fi-FI" w:bidi="th-TH"/>
        </w:rPr>
        <w:t>(Roland, 2017)</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val="fi-FI" w:bidi="th-TH"/>
        </w:rPr>
        <w:t>.</w:t>
      </w:r>
    </w:p>
    <w:p w14:paraId="198EE24E" w14:textId="77777777" w:rsidR="00B9031A" w:rsidRPr="00B9031A" w:rsidRDefault="00B9031A" w:rsidP="00B9031A">
      <w:pPr>
        <w:spacing w:after="0" w:line="480" w:lineRule="auto"/>
        <w:ind w:left="720" w:firstLine="720"/>
        <w:jc w:val="both"/>
        <w:rPr>
          <w:rFonts w:ascii="Times New Roman" w:eastAsia="Aptos" w:hAnsi="Times New Roman" w:cs="Times New Roman"/>
          <w:lang w:val="fi-FI" w:bidi="th-TH"/>
        </w:rPr>
      </w:pPr>
      <w:r w:rsidRPr="00B9031A">
        <w:rPr>
          <w:rFonts w:ascii="Times New Roman" w:eastAsia="Aptos" w:hAnsi="Times New Roman" w:cs="Times New Roman"/>
          <w:lang w:val="fi-FI" w:bidi="th-TH"/>
        </w:rPr>
        <w:t>Hal tersebut menjadi suatu penguraian dari adanya hubungan yang dapat dibentuk ketika sebuah tanda ditemukan dengan emosi atau perasaan dari pengguna dan juga menjadi nilai dari sebuah kebudayaan. Tak lain dari itu, Roland Barthes mempunyai pandangan bahwa mitos adalah bahasa, sebagai sebuah sistem komunikasi yang dikembangkan dari konotasi. Konotasi yang muncul dan sudah dibentuk lama pada khalayak disebut sebagai mitos. Di saat sebuah tanda memiliki tanda denotasi kemudian berkembang menjadi konotasi, maka arti konotasi tersebut menjadi mitos.</w:t>
      </w:r>
    </w:p>
    <w:p w14:paraId="198C9318" w14:textId="77777777" w:rsidR="00B9031A" w:rsidRPr="00B9031A" w:rsidRDefault="00B9031A" w:rsidP="00B9031A">
      <w:pPr>
        <w:spacing w:after="0" w:line="480" w:lineRule="auto"/>
        <w:ind w:left="720" w:firstLine="720"/>
        <w:jc w:val="both"/>
        <w:rPr>
          <w:rFonts w:ascii="Times New Roman" w:eastAsia="Aptos" w:hAnsi="Times New Roman" w:cs="Times New Roman"/>
          <w:lang w:bidi="th-TH"/>
        </w:rPr>
      </w:pPr>
      <w:r w:rsidRPr="00B9031A">
        <w:rPr>
          <w:rFonts w:ascii="Times New Roman" w:eastAsia="Aptos" w:hAnsi="Times New Roman" w:cs="Times New Roman"/>
          <w:lang w:val="fi-FI" w:bidi="th-TH"/>
        </w:rPr>
        <w:lastRenderedPageBreak/>
        <w:t xml:space="preserve">Roland Barthes mempunyai lima kode yaitu, kode hermeneutik (teka-teki), kode proaretik (tindakan), kode semik (makna konotatif), kode simbolik, dan kode kultural. Kode hermeutik bertumpu pada keinginan para pembaca untuk memperoleh kebenaran bagi pertanyaan yang muncul di dalam teks. </w:t>
      </w:r>
      <w:r w:rsidRPr="00B9031A">
        <w:rPr>
          <w:rFonts w:ascii="Times New Roman" w:eastAsia="Aptos" w:hAnsi="Times New Roman" w:cs="Times New Roman"/>
          <w:lang w:bidi="th-TH"/>
        </w:rPr>
        <w:t xml:space="preserve">Dan kode ini diberi makna sebagai hal yang tidak jelas dan ketegangan di dalam sebuah adegan film. Kode proaretik atau kode tindakan, kode tersebut mempunyai kemampuan untuk memutuskan akibat dari suatu perbuatan rasional yang melibatkan logika perilaku manusia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bidi="th-TH"/>
        </w:rPr>
        <w:instrText>ADDIN CSL_CITATION {"citationItems":[{"id":"ITEM-1","itemData":{"author":[{"dropping-particle":"","family":"Ambarini","given":"Asriningsari","non-dropping-particle":"","parse-names":false,"suffix":""}],"id":"ITEM-1","issued":{"date-parts":[["2010"]]},"publisher":"Universitas PGRI Semarang Press","publisher-place":"Semarang","title":"Semiotika Teori Dan Aplikasi Pada Karya Sastra","type":"book"},"uris":["http://www.mendeley.com/documents/?uuid=cc13643f-eaeb-4d38-98da-7477fc82431d"]}],"mendeley":{"formattedCitation":"(Ambarini, 2010)","plainTextFormattedCitation":"(Ambarini, 2010)","previouslyFormattedCitation":"(Ambarini, 2010)"},"properties":{"noteIndex":0},"schema":"https://github.com/citation-style-language/schema/raw/master/csl-citation.json"}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bidi="th-TH"/>
        </w:rPr>
        <w:t>(Ambarini, 2010)</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bidi="th-TH"/>
        </w:rPr>
        <w:t>.</w:t>
      </w:r>
    </w:p>
    <w:p w14:paraId="40F3CD02" w14:textId="77777777" w:rsidR="00B9031A" w:rsidRPr="00B9031A" w:rsidRDefault="00B9031A" w:rsidP="00B9031A">
      <w:pPr>
        <w:spacing w:after="0" w:line="480" w:lineRule="auto"/>
        <w:ind w:left="720" w:firstLine="720"/>
        <w:jc w:val="both"/>
        <w:rPr>
          <w:rFonts w:ascii="Times New Roman" w:eastAsia="Aptos" w:hAnsi="Times New Roman" w:cs="Times New Roman"/>
          <w:lang w:bidi="th-TH"/>
        </w:rPr>
      </w:pPr>
      <w:r w:rsidRPr="00B9031A">
        <w:rPr>
          <w:rFonts w:ascii="Times New Roman" w:eastAsia="Aptos" w:hAnsi="Times New Roman" w:cs="Times New Roman"/>
          <w:lang w:bidi="th-TH"/>
        </w:rPr>
        <w:t>Tindakan tersebut melahirkan dampak, dan mempunyai nama umum sendiri, seperti judul untuk sekuen yang bersangkutan. Kode tersebut menyusun alur sebuah narasi dengan menanggung bahwa teks yang dibaca menyediakan sebuah cerita, yaitu serangkaian aksi yang saling bersangkutan. Kode ini adalah perlengkapan utama teks yang dibaca orang, dalam artian semua teks yang dibaca mempunyai sifat naratif.</w:t>
      </w:r>
    </w:p>
    <w:p w14:paraId="640C9A48" w14:textId="77777777" w:rsidR="00B9031A" w:rsidRPr="00B9031A" w:rsidRDefault="00B9031A" w:rsidP="00B9031A">
      <w:pPr>
        <w:spacing w:after="0" w:line="480" w:lineRule="auto"/>
        <w:ind w:left="720" w:firstLine="720"/>
        <w:jc w:val="both"/>
        <w:rPr>
          <w:rFonts w:ascii="Times New Roman" w:eastAsia="Aptos" w:hAnsi="Times New Roman" w:cs="Times New Roman"/>
          <w:lang w:bidi="th-TH"/>
        </w:rPr>
      </w:pPr>
      <w:r w:rsidRPr="00B9031A">
        <w:rPr>
          <w:rFonts w:ascii="Times New Roman" w:eastAsia="Aptos" w:hAnsi="Times New Roman" w:cs="Times New Roman"/>
          <w:lang w:bidi="th-TH"/>
        </w:rPr>
        <w:t>Kode semik atau bisa disebut juga dengan kode konotatif menunjukkan banyak sisi. Pada proses pembacaannya, pembaca merangkai tema sebuah teks. Konotasi kata atau frase tertentu dalam teks bisa dikelompokkan dengan frase yang mirip. Barthes mempunyai anggapan bahwa denotasi sebagai konotasi yang paling kuat dan paling akhir. Kode tersebut merupakan sebuah kode relasi penghubung (</w:t>
      </w:r>
      <w:r w:rsidRPr="00B9031A">
        <w:rPr>
          <w:rFonts w:ascii="Times New Roman" w:eastAsia="Aptos" w:hAnsi="Times New Roman" w:cs="Times New Roman"/>
          <w:i/>
          <w:iCs/>
          <w:lang w:bidi="th-TH"/>
        </w:rPr>
        <w:t>medium-relatic-code</w:t>
      </w:r>
      <w:r w:rsidRPr="00B9031A">
        <w:rPr>
          <w:rFonts w:ascii="Times New Roman" w:eastAsia="Aptos" w:hAnsi="Times New Roman" w:cs="Times New Roman"/>
          <w:lang w:bidi="th-TH"/>
        </w:rPr>
        <w:t xml:space="preserve">), yang merupakan konotasi dari orang, tempat, obyek, yang petandanya adalah karakter (sifat, atribut, dan predikat)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bidi="th-TH"/>
        </w:rPr>
        <w:instrText>ADDIN CSL_CITATION {"citationItems":[{"id":"ITEM-1","itemData":{"author":[{"dropping-particle":"","family":"Muhammad","given":"Alfathoni Mursid Ali","non-dropping-particle":"","parse-names":false,"suffix":""}],"id":"ITEM-1","issued":{"date-parts":[["2022"]]},"publisher":"CV Media Sains Indonesia","publisher-place":"Bandung","title":"Pengantar Teori Semiotika","type":"book"},"uris":["http://www.mendeley.com/documents/?uuid=dda7ac8a-786d-487b-8e8c-0d267435a03b"]}],"mendeley":{"formattedCitation":"(Muhammad, 2022)","plainTextFormattedCitation":"(Muhammad, 2022)","previouslyFormattedCitation":"(Muhammad, 2022)"},"properties":{"noteIndex":0},"schema":"https://github.com/citation-style-language/schema/raw/master/csl-citation.json"}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bidi="th-TH"/>
        </w:rPr>
        <w:t>(Muhammad, 2022)</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bidi="th-TH"/>
        </w:rPr>
        <w:t>.</w:t>
      </w:r>
    </w:p>
    <w:p w14:paraId="5287A880" w14:textId="77777777" w:rsidR="00B9031A" w:rsidRPr="00B9031A" w:rsidRDefault="00B9031A" w:rsidP="00B9031A">
      <w:pPr>
        <w:spacing w:after="0" w:line="480" w:lineRule="auto"/>
        <w:ind w:left="720" w:firstLine="720"/>
        <w:jc w:val="both"/>
        <w:rPr>
          <w:rFonts w:ascii="Times New Roman" w:eastAsia="Aptos" w:hAnsi="Times New Roman" w:cs="Times New Roman"/>
          <w:lang w:bidi="th-TH"/>
        </w:rPr>
      </w:pPr>
      <w:r w:rsidRPr="00B9031A">
        <w:rPr>
          <w:rFonts w:ascii="Times New Roman" w:eastAsia="Aptos" w:hAnsi="Times New Roman" w:cs="Times New Roman"/>
          <w:lang w:bidi="th-TH"/>
        </w:rPr>
        <w:lastRenderedPageBreak/>
        <w:t xml:space="preserve">Kode simbolik merupakan kode pengelompokan atau wujud yang mudah untuk dikenali karena kemunculannya yang secara teratur dan terus menerus melalu berbagai cara dan sarana tekstual, misalnya berupa serangkaian antithesis seperti, panas dan dingin, atas dan bawah, kecil dan besar.  Kode kultural atau kode </w:t>
      </w:r>
      <w:r w:rsidRPr="00B9031A">
        <w:rPr>
          <w:rFonts w:ascii="Times New Roman" w:eastAsia="Aptos" w:hAnsi="Times New Roman" w:cs="Times New Roman"/>
          <w:i/>
          <w:iCs/>
          <w:lang w:bidi="th-TH"/>
        </w:rPr>
        <w:t>gnomic</w:t>
      </w:r>
      <w:r w:rsidRPr="00B9031A">
        <w:rPr>
          <w:rFonts w:ascii="Times New Roman" w:eastAsia="Aptos" w:hAnsi="Times New Roman" w:cs="Times New Roman"/>
          <w:lang w:bidi="th-TH"/>
        </w:rPr>
        <w:t xml:space="preserve"> menjadi referensi kepada sebuah ilmu pengetahuan. </w:t>
      </w:r>
      <w:r w:rsidRPr="00B9031A">
        <w:rPr>
          <w:rFonts w:ascii="Times New Roman" w:eastAsia="Aptos" w:hAnsi="Times New Roman" w:cs="Times New Roman"/>
          <w:lang w:val="fi-FI" w:bidi="th-TH"/>
        </w:rPr>
        <w:t xml:space="preserve">Seringkali orang mengindikasikan kepada jenis pengetahuan (fisika, fisiologi, sejarah termasuk arsitektur). Dan mencoba untuk membangun ulang sebuah budaya yang terus berlaku pada jangka waktu tertentu yang berupaya untuk diekspresikan. </w:t>
      </w:r>
      <w:r w:rsidRPr="00B9031A">
        <w:rPr>
          <w:rFonts w:ascii="Times New Roman" w:eastAsia="Aptos" w:hAnsi="Times New Roman" w:cs="Times New Roman"/>
          <w:lang w:bidi="th-TH"/>
        </w:rPr>
        <w:t xml:space="preserve">Kode tersebut bisa disebut juga sebagai suara ilmu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bidi="th-TH"/>
        </w:rPr>
        <w:instrText>ADDIN CSL_CITATION {"citationItems":[{"id":"ITEM-1","itemData":{"author":[{"dropping-particle":"","family":"Kurniawan","given":"","non-dropping-particle":"","parse-names":false,"suffix":""}],"id":"ITEM-1","issued":{"date-parts":[["2001"]]},"publisher":"Indonesiatera","publisher-place":"Magelang","title":"Semiologi Roland Barthes","type":"book"},"uris":["http://www.mendeley.com/documents/?uuid=d7451882-a7d4-4258-af68-207009e52506"]}],"mendeley":{"formattedCitation":"(Kurniawan, 2001)","plainTextFormattedCitation":"(Kurniawan, 2001)","previouslyFormattedCitation":"(Kurniawan, 2001)"},"properties":{"noteIndex":0},"schema":"https://github.com/citation-style-language/schema/raw/master/csl-citation.json"}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bidi="th-TH"/>
        </w:rPr>
        <w:t>(Kurniawan, 2001)</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bidi="th-TH"/>
        </w:rPr>
        <w:t>.</w:t>
      </w:r>
    </w:p>
    <w:p w14:paraId="3958295E" w14:textId="77777777" w:rsidR="00B9031A" w:rsidRPr="00B9031A" w:rsidRDefault="00B9031A" w:rsidP="00B9031A">
      <w:pPr>
        <w:numPr>
          <w:ilvl w:val="0"/>
          <w:numId w:val="6"/>
        </w:numPr>
        <w:spacing w:after="0" w:line="480" w:lineRule="auto"/>
        <w:contextualSpacing/>
        <w:jc w:val="both"/>
        <w:outlineLvl w:val="1"/>
        <w:rPr>
          <w:rFonts w:ascii="Times New Roman" w:eastAsia="Aptos" w:hAnsi="Times New Roman" w:cs="Times New Roman"/>
          <w:b/>
          <w:bCs/>
          <w:lang w:bidi="th-TH"/>
        </w:rPr>
      </w:pPr>
      <w:bookmarkStart w:id="19" w:name="_Toc196386138"/>
      <w:bookmarkStart w:id="20" w:name="_Toc204802352"/>
      <w:bookmarkStart w:id="21" w:name="_Toc208469582"/>
      <w:bookmarkStart w:id="22" w:name="_Toc208469866"/>
      <w:r w:rsidRPr="00B9031A">
        <w:rPr>
          <w:rFonts w:ascii="Times New Roman" w:eastAsia="Aptos" w:hAnsi="Times New Roman" w:cs="Times New Roman"/>
          <w:b/>
          <w:bCs/>
          <w:lang w:bidi="th-TH"/>
        </w:rPr>
        <w:t>Kajian Pustaka</w:t>
      </w:r>
      <w:bookmarkEnd w:id="19"/>
      <w:bookmarkEnd w:id="20"/>
      <w:bookmarkEnd w:id="21"/>
      <w:bookmarkEnd w:id="22"/>
    </w:p>
    <w:p w14:paraId="0637C016"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Penelitian terdahulu menjadikan tunjangan bagi peneliti untuk melaksanakan penelitian, baik itu berasal dari jurnal ataupun penelitian lain yang dijadikan referensi pembanding di dalam penelitian ini. Berikut adalah penelitian terdahulu yaitu beberapa jurnal dan skripsi terkait dengan penelitian yang dilakukan oleh penulis:</w:t>
      </w:r>
    </w:p>
    <w:p w14:paraId="23D0C3AA"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bidi="th-TH"/>
        </w:rPr>
      </w:pPr>
      <w:r w:rsidRPr="00B9031A">
        <w:rPr>
          <w:rFonts w:ascii="Times New Roman" w:eastAsia="Aptos" w:hAnsi="Times New Roman" w:cs="Times New Roman"/>
          <w:lang w:bidi="th-TH"/>
        </w:rPr>
        <w:t xml:space="preserve">Pertama, jurnal yang dilakukan oleh Octaviya Dwi Lestari, Rahma Nurul ‘Izzati AF, Aulia Zarasty, Nindy Billah Wahidiyati yang merupakan mahasiswa dari Universitas Negeri Surabaya Tahun 2024 yang berjudul “Analisis Resepsi </w:t>
      </w:r>
      <w:r w:rsidRPr="00B9031A">
        <w:rPr>
          <w:rFonts w:ascii="Times New Roman" w:eastAsia="Aptos" w:hAnsi="Times New Roman" w:cs="Times New Roman"/>
          <w:i/>
          <w:iCs/>
          <w:lang w:bidi="th-TH"/>
        </w:rPr>
        <w:t>Toxic Relationship</w:t>
      </w:r>
      <w:r w:rsidRPr="00B9031A">
        <w:rPr>
          <w:rFonts w:ascii="Times New Roman" w:eastAsia="Aptos" w:hAnsi="Times New Roman" w:cs="Times New Roman"/>
          <w:lang w:bidi="th-TH"/>
        </w:rPr>
        <w:t xml:space="preserve"> Pada Film </w:t>
      </w:r>
      <w:r w:rsidRPr="00B9031A">
        <w:rPr>
          <w:rFonts w:ascii="Times New Roman" w:eastAsia="Aptos" w:hAnsi="Times New Roman" w:cs="Times New Roman"/>
          <w:i/>
          <w:iCs/>
          <w:lang w:bidi="th-TH"/>
        </w:rPr>
        <w:t>Ipar Adalah Maut</w:t>
      </w:r>
      <w:r w:rsidRPr="00B9031A">
        <w:rPr>
          <w:rFonts w:ascii="Times New Roman" w:eastAsia="Aptos" w:hAnsi="Times New Roman" w:cs="Times New Roman"/>
          <w:lang w:bidi="th-TH"/>
        </w:rPr>
        <w:t xml:space="preserve">”. Penelitian tersebut secara khusus menjelaskan bagaimana khalayak memaknai pesan yang disampaikan oleh media. Penelitian ini bermaksud untuk pemberian makna dan pengolahan teks terhadap tayangan media, </w:t>
      </w:r>
      <w:r w:rsidRPr="00B9031A">
        <w:rPr>
          <w:rFonts w:ascii="Times New Roman" w:eastAsia="Aptos" w:hAnsi="Times New Roman" w:cs="Times New Roman"/>
          <w:lang w:bidi="th-TH"/>
        </w:rPr>
        <w:lastRenderedPageBreak/>
        <w:t xml:space="preserve">sehingga dapat menghasilkan respon terhadapnya. Konflik perselingkuhan yang terjadi dalam film </w:t>
      </w:r>
      <w:r w:rsidRPr="00B9031A">
        <w:rPr>
          <w:rFonts w:ascii="Times New Roman" w:eastAsia="Aptos" w:hAnsi="Times New Roman" w:cs="Times New Roman"/>
          <w:i/>
          <w:iCs/>
          <w:lang w:bidi="th-TH"/>
        </w:rPr>
        <w:t>Ipar Adalah Maut</w:t>
      </w:r>
      <w:r w:rsidRPr="00B9031A">
        <w:rPr>
          <w:rFonts w:ascii="Times New Roman" w:eastAsia="Aptos" w:hAnsi="Times New Roman" w:cs="Times New Roman"/>
          <w:lang w:bidi="th-TH"/>
        </w:rPr>
        <w:t xml:space="preserve"> ini memberikan persepsi dan emosi yang berbeda- beda pada setiap penontonnya.</w:t>
      </w:r>
    </w:p>
    <w:p w14:paraId="1AEF2907"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val="fi-FI" w:bidi="th-TH"/>
        </w:rPr>
      </w:pPr>
      <w:r w:rsidRPr="00B9031A">
        <w:rPr>
          <w:rFonts w:ascii="Times New Roman" w:eastAsia="Aptos" w:hAnsi="Times New Roman" w:cs="Times New Roman"/>
          <w:lang w:bidi="th-TH"/>
        </w:rPr>
        <w:t xml:space="preserve">Penelitian tersebut menerapkan metode kualitatif dengan pendekatan analisis resepsi model encoding dan decoding dari Stuart Hall, dengan fokus pada persepsi penonton terhadap isu </w:t>
      </w:r>
      <w:r w:rsidRPr="00B9031A">
        <w:rPr>
          <w:rFonts w:ascii="Times New Roman" w:eastAsia="Aptos" w:hAnsi="Times New Roman" w:cs="Times New Roman"/>
          <w:i/>
          <w:iCs/>
          <w:lang w:bidi="th-TH"/>
        </w:rPr>
        <w:t xml:space="preserve">toxic relationship </w:t>
      </w:r>
      <w:r w:rsidRPr="00B9031A">
        <w:rPr>
          <w:rFonts w:ascii="Times New Roman" w:eastAsia="Aptos" w:hAnsi="Times New Roman" w:cs="Times New Roman"/>
          <w:lang w:bidi="th-TH"/>
        </w:rPr>
        <w:t xml:space="preserve">dalam karya film </w:t>
      </w:r>
      <w:r w:rsidRPr="00B9031A">
        <w:rPr>
          <w:rFonts w:ascii="Times New Roman" w:eastAsia="Aptos" w:hAnsi="Times New Roman" w:cs="Times New Roman"/>
          <w:i/>
          <w:iCs/>
          <w:lang w:bidi="th-TH"/>
        </w:rPr>
        <w:t xml:space="preserve">Ipar Adalah Maut. </w:t>
      </w:r>
      <w:r w:rsidRPr="00B9031A">
        <w:rPr>
          <w:rFonts w:ascii="Times New Roman" w:eastAsia="Aptos" w:hAnsi="Times New Roman" w:cs="Times New Roman"/>
          <w:lang w:bidi="th-TH"/>
        </w:rPr>
        <w:t xml:space="preserve">analisis ini menggambarkan bagaimana </w:t>
      </w:r>
      <w:r w:rsidRPr="00B9031A">
        <w:rPr>
          <w:rFonts w:ascii="Times New Roman" w:eastAsia="Aptos" w:hAnsi="Times New Roman" w:cs="Times New Roman"/>
          <w:i/>
          <w:iCs/>
          <w:lang w:bidi="th-TH"/>
        </w:rPr>
        <w:t>toxic relationship</w:t>
      </w:r>
      <w:r w:rsidRPr="00B9031A">
        <w:rPr>
          <w:rFonts w:ascii="Times New Roman" w:eastAsia="Aptos" w:hAnsi="Times New Roman" w:cs="Times New Roman"/>
          <w:lang w:bidi="th-TH"/>
        </w:rPr>
        <w:t xml:space="preserve"> yang dimulai dari kebohongan dan perselingkuhan dapat menghancurkan seluruh hubungan keluarga. Tidak hanya hubungan suami dan istri yang hancur, tetapi juga hubungan persaudaraan kakak, adik, dan hubungan orang tua dengan anak- anaknya. </w:t>
      </w:r>
      <w:r w:rsidRPr="00B9031A">
        <w:rPr>
          <w:rFonts w:ascii="Times New Roman" w:eastAsia="Aptos" w:hAnsi="Times New Roman" w:cs="Times New Roman"/>
          <w:lang w:val="fi-FI" w:bidi="th-TH"/>
        </w:rPr>
        <w:t xml:space="preserve">Pengkhianatan, kebohongan, dan manipulasi menjadi alat utama yang digunakan dalam hubungan ini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val="fi-FI" w:bidi="th-TH"/>
        </w:rPr>
        <w:instrText>ADDIN CSL_CITATION {"citationItems":[{"id":"ITEM-1","itemData":{"author":[{"dropping-particle":"","family":"Lestari","given":"Octaviya Dwi","non-dropping-particle":"","parse-names":false,"suffix":""},{"dropping-particle":"","family":"Nurul","given":"Rahma","non-dropping-particle":"","parse-names":false,"suffix":""},{"dropping-particle":"","family":"Af","given":"Izzati","non-dropping-particle":"","parse-names":false,"suffix":""},{"dropping-particle":"","family":"Zarasty","given":"Aulia","non-dropping-particle":"","parse-names":false,"suffix":""},{"dropping-particle":"","family":"Wahidiyati","given":"Nindy Billah","non-dropping-particle":"","parse-names":false,"suffix":""}],"id":"ITEM-1","issued":{"date-parts":[["2024"]]},"page":"1156-1165","title":"Analisis Resepsi Toxic Relationship Pada Film “ Ipar Adalah Maut ”","type":"article-journal"},"uris":["http://www.mendeley.com/documents/?uuid=c8332585-fcfd-474a-9673-57cb4a58b815"]}],"mendeley":{"formattedCitation":"(Lestari et al., 2024)","plainTextFormattedCitation":"(Lestari et al., 2024)","previouslyFormattedCitation":"(Lestari et al., 2024)"},"properties":{"noteIndex":0},"schema":"https://github.com/citation-style-language/schema/raw/master/csl-citation.json"}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val="fi-FI" w:bidi="th-TH"/>
        </w:rPr>
        <w:t>(Lestari et al., 2024)</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val="fi-FI" w:bidi="th-TH"/>
        </w:rPr>
        <w:t>.</w:t>
      </w:r>
    </w:p>
    <w:p w14:paraId="6405A3F8"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val="fi-FI" w:bidi="th-TH"/>
        </w:rPr>
      </w:pPr>
      <w:r w:rsidRPr="00B9031A">
        <w:rPr>
          <w:rFonts w:ascii="Times New Roman" w:eastAsia="Aptos" w:hAnsi="Times New Roman" w:cs="Times New Roman"/>
          <w:lang w:val="fi-FI" w:bidi="th-TH"/>
        </w:rPr>
        <w:t xml:space="preserve">Kedua, skripsi yang dilakukan oleh Putri Ayu Nanda Sari yang merupakan mahasiswa dari Universitas Islam Negeri Raden Mas Said Surakarta Tahun 2023 yang berjudul “Resistensi Perempuan Korban Kekerasan Dalam Rumah Tangga Dalam Film </w:t>
      </w:r>
      <w:r w:rsidRPr="00B9031A">
        <w:rPr>
          <w:rFonts w:ascii="Times New Roman" w:eastAsia="Aptos" w:hAnsi="Times New Roman" w:cs="Times New Roman"/>
          <w:i/>
          <w:iCs/>
          <w:lang w:val="fi-FI" w:bidi="th-TH"/>
        </w:rPr>
        <w:t>Darlings</w:t>
      </w:r>
      <w:r w:rsidRPr="00B9031A">
        <w:rPr>
          <w:rFonts w:ascii="Times New Roman" w:eastAsia="Aptos" w:hAnsi="Times New Roman" w:cs="Times New Roman"/>
          <w:lang w:val="fi-FI" w:bidi="th-TH"/>
        </w:rPr>
        <w:t xml:space="preserve">”. Penelitian tersebut secara khusus menggambarkan tentang untuk mengenali bagaimana posisi aktor ditampilkan dalam sebuah teks, mengenai posisi siapa yang bercerita atau diceritakan dan menentukan bagaimana struktur teks itu dapat terbentuk. </w:t>
      </w:r>
    </w:p>
    <w:p w14:paraId="4770444C"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val="fi-FI" w:bidi="th-TH"/>
        </w:rPr>
      </w:pPr>
      <w:r w:rsidRPr="00B9031A">
        <w:rPr>
          <w:rFonts w:ascii="Times New Roman" w:eastAsia="Aptos" w:hAnsi="Times New Roman" w:cs="Times New Roman"/>
          <w:lang w:val="fi-FI" w:bidi="th-TH"/>
        </w:rPr>
        <w:t xml:space="preserve">Dalam melakukan penelitian ini, penelitinya mengkaji dengan kerangka teori analisis wacana kritis Sara Mills. Dengan melihat posisi </w:t>
      </w:r>
      <w:r w:rsidRPr="00B9031A">
        <w:rPr>
          <w:rFonts w:ascii="Times New Roman" w:eastAsia="Aptos" w:hAnsi="Times New Roman" w:cs="Times New Roman"/>
          <w:lang w:val="fi-FI" w:bidi="th-TH"/>
        </w:rPr>
        <w:lastRenderedPageBreak/>
        <w:t xml:space="preserve">subjek-objek, penulis dan pembaca. Pada posisi subjek dalam film Darlings dapat dilihat dari dua sudut pandang, yaitu pandangan laki-laki dan perempuan. Dari sudut pandang laki-laki, subjek menceritakan posisi perempuan. Sementara dari sudut pandang perempuan, subjek menceritakan bagaimana perempuan di diskriminasi oleh laki-laki sehingga membuatnya berani melakukan perlawanan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val="fi-FI" w:bidi="th-TH"/>
        </w:rPr>
        <w:instrText>ADDIN CSL_CITATION {"citationItems":[{"id":"ITEM-1","itemData":{"ISSN":"0029-5582","abstract":"We define the transformation brackets connecting the wave functions for two particles in an harmonic oscillator common potential with the wave functions given in terms of the relative and centre of mass coordinates of the two particles. With the help of these brackets we show that all matrix elements for the interaction potentials in nuclear shell theory can be given directly in terms of Talmi integrals. We obtain recurrence relations and explicit algebraic expressions for the transformation brackets that will permit their numerical evaluation.","author":[{"dropping-particle":"","family":"Sari","given":"Putri Ayu Nanda","non-dropping-particle":"","parse-names":false,"suffix":""}],"container-title":"Nucl. Phys.","id":"ITEM-1","issue":"1","issued":{"date-parts":[["2023"]]},"page":"104-116","title":"Resistansi Perempuan Korban Kekerasan Dalam Rumah Tangga Dalam Film Darlings (Analisis Wacana Kritis Sara Mills)","type":"article-journal","volume":"13"},"uris":["http://www.mendeley.com/documents/?uuid=74a8c4c2-a4ac-483f-a44b-2873cbdaa4a7"]}],"mendeley":{"formattedCitation":"(Sari, 2023)","plainTextFormattedCitation":"(Sari, 2023)","previouslyFormattedCitation":"(Sari, 2023)"},"properties":{"noteIndex":0},"schema":"https://github.com/citation-style-language/schema/raw/master/csl-citation.json"}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val="fi-FI" w:bidi="th-TH"/>
        </w:rPr>
        <w:t>(Sari, 2023)</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val="fi-FI" w:bidi="th-TH"/>
        </w:rPr>
        <w:t>.</w:t>
      </w:r>
    </w:p>
    <w:p w14:paraId="38F90455"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val="fi-FI" w:bidi="th-TH"/>
        </w:rPr>
      </w:pPr>
      <w:r w:rsidRPr="00B9031A">
        <w:rPr>
          <w:rFonts w:ascii="Times New Roman" w:eastAsia="Aptos" w:hAnsi="Times New Roman" w:cs="Times New Roman"/>
          <w:lang w:val="fi-FI" w:bidi="th-TH"/>
        </w:rPr>
        <w:t xml:space="preserve">Ketiga, jurnal yang dilakukan oleh Nita Indriani dan Abraham Zakky Zulhazmi dari Universitas Islam Negeri Raden Mas Said Surakarta Tahun 2021 yang berjudul “Resistensi Perempuan dalam Film </w:t>
      </w:r>
      <w:r w:rsidRPr="00B9031A">
        <w:rPr>
          <w:rFonts w:ascii="Times New Roman" w:eastAsia="Aptos" w:hAnsi="Times New Roman" w:cs="Times New Roman"/>
          <w:i/>
          <w:iCs/>
          <w:lang w:val="fi-FI" w:bidi="th-TH"/>
        </w:rPr>
        <w:t>Secret Superstar</w:t>
      </w:r>
      <w:r w:rsidRPr="00B9031A">
        <w:rPr>
          <w:rFonts w:ascii="Times New Roman" w:eastAsia="Aptos" w:hAnsi="Times New Roman" w:cs="Times New Roman"/>
          <w:lang w:val="fi-FI" w:bidi="th-TH"/>
        </w:rPr>
        <w:t xml:space="preserve">”. Penelitian tersebut secara khusus menjelaskan denotasi, konotasi, dan mitos yang digunakan dalam film </w:t>
      </w:r>
      <w:r w:rsidRPr="00B9031A">
        <w:rPr>
          <w:rFonts w:ascii="Times New Roman" w:eastAsia="Aptos" w:hAnsi="Times New Roman" w:cs="Times New Roman"/>
          <w:i/>
          <w:iCs/>
          <w:lang w:val="fi-FI" w:bidi="th-TH"/>
        </w:rPr>
        <w:t xml:space="preserve">Secret Superstar </w:t>
      </w:r>
      <w:r w:rsidRPr="00B9031A">
        <w:rPr>
          <w:rFonts w:ascii="Times New Roman" w:eastAsia="Aptos" w:hAnsi="Times New Roman" w:cs="Times New Roman"/>
          <w:lang w:val="fi-FI" w:bidi="th-TH"/>
        </w:rPr>
        <w:t>dengan menggambarkan bagaimana bentuk resistensi perempuan dalam film tersebut menggunakan teori semiotika Roland Barthes.</w:t>
      </w:r>
    </w:p>
    <w:p w14:paraId="4427F9DC"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val="fi-FI" w:bidi="th-TH"/>
        </w:rPr>
      </w:pPr>
      <w:r w:rsidRPr="00B9031A">
        <w:rPr>
          <w:rFonts w:ascii="Times New Roman" w:eastAsia="Aptos" w:hAnsi="Times New Roman" w:cs="Times New Roman"/>
          <w:lang w:val="fi-FI" w:bidi="th-TH"/>
        </w:rPr>
        <w:t xml:space="preserve">Penelitian tersebut mempunyai maksud untuk mengetahui penyebab dilakukannya perlawanan adalah tindakan diskriminasi yang dilakukan kaum penguasa kepada kaum yang lemah. Kaum penguasa sering kali merasa derajat mereka berada jauh di atas kaum yang lemah membuat mereka bersikap seenaknya saja dalam lingkungan keluarga. Teknik pengolahan data yang dilakukan oleh peneliti dengan cara menonton, mengamati setiap adegan dan dialog dalam film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val="fi-FI" w:bidi="th-TH"/>
        </w:rPr>
        <w:instrText>ADDIN CSL_CITATION {"citationItems":[{"id":"ITEM-1","itemData":{"DOI":"10.22515/bg.v6i2.3925","ISSN":"2527-8096","abstract":"Penelitian ini bertujuan untuk menggambarkan bagaimana bentuk resistensi perempuan pada film Secret Superstar karya sutradara Advait Chandan. Penelitian ini menggunakan teori semiotik model Roland Barthes dan menggunakan metode penelitian kualitatif deskriptif. Penelitian ini berusaha untuk memecahkan masalah berdasarkan data-data yang ada yakni dengan menyajikan data, menganalisis dan menginterpretasikan data. Kemudian data yang sudah diperoleh dianalisis menggunakan teori semiotik model Roland Barthes. Pada teori semiotik menurut Roland Barthes yang menggunakan model siginifikasi tahapan yakni denotasi, konotasi dan mitos. Selanjutnya peneliti menganalisis resistensi perempuan yang ada dalam film Secret Superstar. Resistensi perempuan menurut James C. Scott terbagi menjadi dua yaitu resistensi terbuka dan resistensi tertutup. Film Secret Superstar bercerita mengenai perjuangan perempuan melawan ketidakadilan dalam hidupnya yang disebabkan oleh diskriminasi dari pihak penguasa (laki-laki).","author":[{"dropping-particle":"","family":"Indriani","given":"Nita","non-dropping-particle":"","parse-names":false,"suffix":""},{"dropping-particle":"","family":"Zulhazmi","given":"Abraham Zakky","non-dropping-particle":"","parse-names":false,"suffix":""}],"container-title":"BUANA GENDER : Jurnal Studi Gender dan Anak","id":"ITEM-1","issue":"2","issued":{"date-parts":[["2021"]]},"title":"Resistensi Perempuan Dalam Film Secret Superstar","type":"article-journal","volume":"6"},"uris":["http://www.mendeley.com/documents/?uuid=0066e50b-f6b0-4a83-854f-fd28e8620cb1"]}],"mendeley":{"formattedCitation":"(Indriani &amp; Zulhazmi, 2021)","plainTextFormattedCitation":"(Indriani &amp; Zulhazmi, 2021)","previouslyFormattedCitation":"(Indriani &amp; Zulhazmi, 2021)"},"properties":{"noteIndex":0},"schema":"https://github.com/citation-style-language/schema/raw/master/csl-citation.json"}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val="fi-FI" w:bidi="th-TH"/>
        </w:rPr>
        <w:t>(Indriani &amp; Zulhazmi, 2021)</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val="fi-FI" w:bidi="th-TH"/>
        </w:rPr>
        <w:t>.</w:t>
      </w:r>
    </w:p>
    <w:p w14:paraId="4CA9439D"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val="fi-FI" w:bidi="th-TH"/>
        </w:rPr>
      </w:pPr>
      <w:r w:rsidRPr="00B9031A">
        <w:rPr>
          <w:rFonts w:ascii="Times New Roman" w:eastAsia="Aptos" w:hAnsi="Times New Roman" w:cs="Times New Roman"/>
          <w:lang w:val="fi-FI" w:bidi="th-TH"/>
        </w:rPr>
        <w:t xml:space="preserve">Keempat, jurnal yang dilakukan oleh Sarah Adinda, Turnomo Rahardjo, Muhammad Bayu Widagdo dari Program Studi Ilmu </w:t>
      </w:r>
      <w:r w:rsidRPr="00B9031A">
        <w:rPr>
          <w:rFonts w:ascii="Times New Roman" w:eastAsia="Aptos" w:hAnsi="Times New Roman" w:cs="Times New Roman"/>
          <w:lang w:val="fi-FI" w:bidi="th-TH"/>
        </w:rPr>
        <w:lastRenderedPageBreak/>
        <w:t xml:space="preserve">Komunikasi, Fakultas Ilmu Sosial dan Ilmu Politik Universitas Diponegoro Tahun 2022 yang berjudul “Representasi Resistensi Perempuan Dalam Film </w:t>
      </w:r>
      <w:r w:rsidRPr="00B9031A">
        <w:rPr>
          <w:rFonts w:ascii="Times New Roman" w:eastAsia="Aptos" w:hAnsi="Times New Roman" w:cs="Times New Roman"/>
          <w:i/>
          <w:iCs/>
          <w:lang w:val="fi-FI" w:bidi="th-TH"/>
        </w:rPr>
        <w:t>Ngeri-Ngeri Sedap</w:t>
      </w:r>
      <w:r w:rsidRPr="00B9031A">
        <w:rPr>
          <w:rFonts w:ascii="Times New Roman" w:eastAsia="Aptos" w:hAnsi="Times New Roman" w:cs="Times New Roman"/>
          <w:lang w:val="fi-FI" w:bidi="th-TH"/>
        </w:rPr>
        <w:t xml:space="preserve">”. Penelitian ini menjelaskan tentang resistensi karena adanya hegemonitas budaya patriarki dalam etnis Batak juga sistem kekerabatan patrilineal yang dianut menjadi tantangan tersendiri bagi perempuan Batak sebab norma budaya yang mengharuskan perempuan untuk selalu tunduk pada laki-laki. </w:t>
      </w:r>
    </w:p>
    <w:p w14:paraId="1493BDF2"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val="fi-FI" w:bidi="th-TH"/>
        </w:rPr>
      </w:pPr>
      <w:r w:rsidRPr="00B9031A">
        <w:rPr>
          <w:rFonts w:ascii="Times New Roman" w:eastAsia="Aptos" w:hAnsi="Times New Roman" w:cs="Times New Roman"/>
          <w:lang w:val="fi-FI" w:bidi="th-TH"/>
        </w:rPr>
        <w:t xml:space="preserve">Pada penelitian tersebut menggunakan pendekatan deskriptif kualitatif dengan metode semiotika milik John Fiske, peneliti menggunakan perspektif dari </w:t>
      </w:r>
      <w:r w:rsidRPr="00B9031A">
        <w:rPr>
          <w:rFonts w:ascii="Times New Roman" w:eastAsia="Aptos" w:hAnsi="Times New Roman" w:cs="Times New Roman"/>
          <w:i/>
          <w:iCs/>
          <w:lang w:val="fi-FI" w:bidi="th-TH"/>
        </w:rPr>
        <w:t>Invitational Rhetoric Theory</w:t>
      </w:r>
      <w:r w:rsidRPr="00B9031A">
        <w:rPr>
          <w:rFonts w:ascii="Times New Roman" w:eastAsia="Aptos" w:hAnsi="Times New Roman" w:cs="Times New Roman"/>
          <w:lang w:val="fi-FI" w:bidi="th-TH"/>
        </w:rPr>
        <w:t xml:space="preserve"> dan </w:t>
      </w:r>
      <w:r w:rsidRPr="00B9031A">
        <w:rPr>
          <w:rFonts w:ascii="Times New Roman" w:eastAsia="Aptos" w:hAnsi="Times New Roman" w:cs="Times New Roman"/>
          <w:i/>
          <w:iCs/>
          <w:lang w:val="fi-FI" w:bidi="th-TH"/>
        </w:rPr>
        <w:t>Co-cultural Theory</w:t>
      </w:r>
      <w:r w:rsidRPr="00B9031A">
        <w:rPr>
          <w:rFonts w:ascii="Times New Roman" w:eastAsia="Aptos" w:hAnsi="Times New Roman" w:cs="Times New Roman"/>
          <w:lang w:val="fi-FI" w:bidi="th-TH"/>
        </w:rPr>
        <w:t xml:space="preserve"> dengan paradigma penelitian kritis. Penelitian tersebut menekankan bahwa resistensi perempuan dapat dilakukan secara bertahap, mulai dari tindakan kecil dan tersembunyi hingga tindakan yang lebih berani dan terbuka </w:t>
      </w:r>
      <w:r w:rsidRPr="00B9031A">
        <w:rPr>
          <w:rFonts w:ascii="Times New Roman" w:eastAsia="Aptos" w:hAnsi="Times New Roman" w:cs="Times New Roman"/>
          <w:lang w:bidi="th-TH"/>
        </w:rPr>
        <w:fldChar w:fldCharType="begin" w:fldLock="1"/>
      </w:r>
      <w:r w:rsidRPr="00B9031A">
        <w:rPr>
          <w:rFonts w:ascii="Times New Roman" w:eastAsia="Aptos" w:hAnsi="Times New Roman" w:cs="Times New Roman"/>
          <w:lang w:val="fi-FI" w:bidi="th-TH"/>
        </w:rPr>
        <w:instrText>ADDIN CSL_CITATION {"citationItems":[{"id":"ITEM-1","itemData":{"author":[{"dropping-particle":"","family":"Adinda","given":"Sarah","non-dropping-particle":"","parse-names":false,"suffix":""},{"dropping-particle":"","family":"Rahardjo","given":"Turnomo","non-dropping-particle":"","parse-names":false,"suffix":""},{"dropping-particle":"","family":"Widagdo","given":"Muhammad Bayu","non-dropping-particle":"","parse-names":false,"suffix":""}],"id":"ITEM-1","issued":{"date-parts":[["2022"]]},"title":"Representasi Resistensi Perempuan Dalam Film Ngeri-Ngeri Sedap","type":"article-journal"},"uris":["http://www.mendeley.com/documents/?uuid=00931765-84dc-4908-ac61-14afdfbbed7b"]}],"mendeley":{"formattedCitation":"(Adinda et al., 2022)","plainTextFormattedCitation":"(Adinda et al., 2022)"},"properties":{"noteIndex":0},"schema":"https://github.com/citation-style-language/schema/raw/master/csl-citation.json"}</w:instrText>
      </w:r>
      <w:r w:rsidRPr="00B9031A">
        <w:rPr>
          <w:rFonts w:ascii="Times New Roman" w:eastAsia="Aptos" w:hAnsi="Times New Roman" w:cs="Times New Roman"/>
          <w:lang w:bidi="th-TH"/>
        </w:rPr>
        <w:fldChar w:fldCharType="separate"/>
      </w:r>
      <w:r w:rsidRPr="00B9031A">
        <w:rPr>
          <w:rFonts w:ascii="Times New Roman" w:eastAsia="Aptos" w:hAnsi="Times New Roman" w:cs="Times New Roman"/>
          <w:noProof/>
          <w:lang w:val="fi-FI" w:bidi="th-TH"/>
        </w:rPr>
        <w:t>(Adinda et al., 2022)</w:t>
      </w:r>
      <w:r w:rsidRPr="00B9031A">
        <w:rPr>
          <w:rFonts w:ascii="Times New Roman" w:eastAsia="Aptos" w:hAnsi="Times New Roman" w:cs="Times New Roman"/>
          <w:lang w:bidi="th-TH"/>
        </w:rPr>
        <w:fldChar w:fldCharType="end"/>
      </w:r>
      <w:r w:rsidRPr="00B9031A">
        <w:rPr>
          <w:rFonts w:ascii="Times New Roman" w:eastAsia="Aptos" w:hAnsi="Times New Roman" w:cs="Times New Roman"/>
          <w:lang w:val="fi-FI" w:bidi="th-TH"/>
        </w:rPr>
        <w:t>.</w:t>
      </w:r>
    </w:p>
    <w:p w14:paraId="02EAB393" w14:textId="77777777" w:rsidR="00B9031A" w:rsidRPr="00B9031A" w:rsidRDefault="00B9031A" w:rsidP="00B9031A">
      <w:pPr>
        <w:spacing w:after="0" w:line="480" w:lineRule="auto"/>
        <w:ind w:left="720" w:firstLine="720"/>
        <w:contextualSpacing/>
        <w:jc w:val="both"/>
        <w:rPr>
          <w:rFonts w:ascii="Times New Roman" w:eastAsia="Aptos" w:hAnsi="Times New Roman" w:cs="Times New Roman"/>
          <w:lang w:val="fi-FI" w:bidi="th-TH"/>
        </w:rPr>
      </w:pPr>
      <w:r w:rsidRPr="00B9031A">
        <w:rPr>
          <w:rFonts w:ascii="Times New Roman" w:eastAsia="Aptos" w:hAnsi="Times New Roman" w:cs="Times New Roman"/>
          <w:lang w:val="fi-FI" w:bidi="th-TH"/>
        </w:rPr>
        <w:t xml:space="preserve">Dari beberapa penelitian di atas menggambarkan tentang perjuangan perempuan dengan resistensi perempuan dalam film. Pada penelitian yang sedang saya teliti berbeda dengan penelitian terdahulu terutama di subjeknya dalam film </w:t>
      </w:r>
      <w:r w:rsidRPr="00B9031A">
        <w:rPr>
          <w:rFonts w:ascii="Times New Roman" w:eastAsia="Aptos" w:hAnsi="Times New Roman" w:cs="Times New Roman"/>
          <w:i/>
          <w:iCs/>
          <w:lang w:val="fi-FI" w:bidi="th-TH"/>
        </w:rPr>
        <w:t xml:space="preserve">Ipar Adalah Maut </w:t>
      </w:r>
      <w:r w:rsidRPr="00B9031A">
        <w:rPr>
          <w:rFonts w:ascii="Times New Roman" w:eastAsia="Aptos" w:hAnsi="Times New Roman" w:cs="Times New Roman"/>
          <w:lang w:val="fi-FI" w:bidi="th-TH"/>
        </w:rPr>
        <w:t xml:space="preserve">untuk menggambarkan sisi resistensi pada tokoh perempuan yang mengalami pengkhianatan pada film tersebut. Perbedaan penelitian terdahulu dengan penelitian yang dilakukan oleh peneliti adalah penelitian pertama objeknya masih sama namun untuk permasalahan yang diambil berbeda, pada penelitian pertama subjeknya mengambil masalah tentang </w:t>
      </w:r>
      <w:r w:rsidRPr="00B9031A">
        <w:rPr>
          <w:rFonts w:ascii="Times New Roman" w:eastAsia="Aptos" w:hAnsi="Times New Roman" w:cs="Times New Roman"/>
          <w:i/>
          <w:iCs/>
          <w:lang w:val="fi-FI" w:bidi="th-TH"/>
        </w:rPr>
        <w:t>toxic relationship</w:t>
      </w:r>
      <w:r w:rsidRPr="00B9031A">
        <w:rPr>
          <w:rFonts w:ascii="Times New Roman" w:eastAsia="Aptos" w:hAnsi="Times New Roman" w:cs="Times New Roman"/>
          <w:lang w:val="fi-FI" w:bidi="th-TH"/>
        </w:rPr>
        <w:t>,</w:t>
      </w:r>
      <w:r w:rsidRPr="00B9031A">
        <w:rPr>
          <w:rFonts w:ascii="Times New Roman" w:eastAsia="Aptos" w:hAnsi="Times New Roman" w:cs="Times New Roman"/>
          <w:i/>
          <w:iCs/>
          <w:lang w:val="fi-FI" w:bidi="th-TH"/>
        </w:rPr>
        <w:t xml:space="preserve"> </w:t>
      </w:r>
      <w:r w:rsidRPr="00B9031A">
        <w:rPr>
          <w:rFonts w:ascii="Times New Roman" w:eastAsia="Aptos" w:hAnsi="Times New Roman" w:cs="Times New Roman"/>
          <w:lang w:val="fi-FI" w:bidi="th-TH"/>
        </w:rPr>
        <w:t xml:space="preserve">sedangkan pada penelitian </w:t>
      </w:r>
      <w:r w:rsidRPr="00B9031A">
        <w:rPr>
          <w:rFonts w:ascii="Times New Roman" w:eastAsia="Aptos" w:hAnsi="Times New Roman" w:cs="Times New Roman"/>
          <w:lang w:val="fi-FI" w:bidi="th-TH"/>
        </w:rPr>
        <w:lastRenderedPageBreak/>
        <w:t>yang sedang peneliti lakukan membahas tentang resistensi perempuan dalam memperjuangkan keadilan karena pengkhianatan.</w:t>
      </w:r>
    </w:p>
    <w:p w14:paraId="00F7CCE6" w14:textId="77777777" w:rsidR="00B9031A" w:rsidRPr="00B9031A" w:rsidRDefault="00B9031A" w:rsidP="00B9031A">
      <w:pPr>
        <w:numPr>
          <w:ilvl w:val="0"/>
          <w:numId w:val="6"/>
        </w:numPr>
        <w:spacing w:after="0" w:line="480" w:lineRule="auto"/>
        <w:contextualSpacing/>
        <w:jc w:val="both"/>
        <w:outlineLvl w:val="1"/>
        <w:rPr>
          <w:rFonts w:ascii="Times New Roman" w:eastAsia="Aptos" w:hAnsi="Times New Roman" w:cs="Times New Roman"/>
          <w:b/>
          <w:bCs/>
          <w:lang w:bidi="th-TH"/>
        </w:rPr>
      </w:pPr>
      <w:bookmarkStart w:id="23" w:name="_Toc196386139"/>
      <w:bookmarkStart w:id="24" w:name="_Toc204802353"/>
      <w:bookmarkStart w:id="25" w:name="_Toc208469583"/>
      <w:bookmarkStart w:id="26" w:name="_Toc208469867"/>
      <w:r w:rsidRPr="00B9031A">
        <w:rPr>
          <w:rFonts w:ascii="Times New Roman" w:eastAsia="Aptos" w:hAnsi="Times New Roman" w:cs="Times New Roman"/>
          <w:b/>
          <w:bCs/>
          <w:lang w:bidi="th-TH"/>
        </w:rPr>
        <w:t>Kerangka Berpikir</w:t>
      </w:r>
      <w:bookmarkEnd w:id="23"/>
      <w:bookmarkEnd w:id="24"/>
      <w:bookmarkEnd w:id="25"/>
      <w:bookmarkEnd w:id="26"/>
    </w:p>
    <w:p w14:paraId="3D7C3367" w14:textId="77777777" w:rsidR="00B9031A" w:rsidRPr="00B9031A" w:rsidRDefault="00B9031A" w:rsidP="00B9031A">
      <w:pPr>
        <w:tabs>
          <w:tab w:val="left" w:pos="6360"/>
        </w:tabs>
        <w:spacing w:after="0" w:line="480" w:lineRule="auto"/>
        <w:jc w:val="center"/>
        <w:rPr>
          <w:rFonts w:ascii="Times New Roman" w:eastAsia="Aptos" w:hAnsi="Times New Roman" w:cs="Times New Roman"/>
          <w:i/>
          <w:iCs/>
          <w:lang w:bidi="th-TH"/>
        </w:rPr>
      </w:pPr>
      <w:r w:rsidRPr="00B9031A">
        <w:rPr>
          <w:rFonts w:ascii="Times New Roman" w:eastAsia="Aptos" w:hAnsi="Times New Roman" w:cs="Times New Roman"/>
          <w:i/>
          <w:iCs/>
          <w:noProof/>
          <w:lang w:val="en-US"/>
        </w:rPr>
        <w:drawing>
          <wp:anchor distT="0" distB="0" distL="114300" distR="114300" simplePos="0" relativeHeight="251660288" behindDoc="0" locked="0" layoutInCell="1" allowOverlap="1" wp14:anchorId="39D4BAAE" wp14:editId="310A7875">
            <wp:simplePos x="0" y="0"/>
            <wp:positionH relativeFrom="margin">
              <wp:posOffset>-167005</wp:posOffset>
            </wp:positionH>
            <wp:positionV relativeFrom="paragraph">
              <wp:posOffset>233680</wp:posOffset>
            </wp:positionV>
            <wp:extent cx="5376545" cy="2625090"/>
            <wp:effectExtent l="0" t="0" r="0" b="3810"/>
            <wp:wrapSquare wrapText="bothSides"/>
            <wp:docPr id="909483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483705"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407" t="9118" r="2407" b="8255"/>
                    <a:stretch>
                      <a:fillRect/>
                    </a:stretch>
                  </pic:blipFill>
                  <pic:spPr bwMode="auto">
                    <a:xfrm>
                      <a:off x="0" y="0"/>
                      <a:ext cx="5376545" cy="26250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9031A">
        <w:rPr>
          <w:rFonts w:ascii="Times New Roman" w:eastAsia="Aptos" w:hAnsi="Times New Roman" w:cs="Times New Roman"/>
          <w:i/>
          <w:iCs/>
          <w:lang w:bidi="th-TH"/>
        </w:rPr>
        <w:t>Gambar 2. Kerangka Berpikir</w:t>
      </w:r>
    </w:p>
    <w:p w14:paraId="60CCC875" w14:textId="77777777" w:rsidR="00B9031A" w:rsidRPr="00B9031A" w:rsidRDefault="00B9031A" w:rsidP="00B9031A">
      <w:pPr>
        <w:spacing w:after="0" w:line="480" w:lineRule="auto"/>
        <w:ind w:left="720" w:firstLine="720"/>
        <w:jc w:val="both"/>
        <w:rPr>
          <w:rFonts w:ascii="Times New Roman" w:eastAsia="Aptos" w:hAnsi="Times New Roman" w:cs="Times New Roman"/>
          <w:lang w:bidi="th-TH"/>
        </w:rPr>
      </w:pPr>
      <w:r w:rsidRPr="00B9031A">
        <w:rPr>
          <w:rFonts w:ascii="Times New Roman" w:eastAsia="Aptos" w:hAnsi="Times New Roman" w:cs="Times New Roman"/>
          <w:lang w:bidi="th-TH"/>
        </w:rPr>
        <w:t xml:space="preserve">Berdasarkan kerangka di atas, penelitian ini berawal dari bagaimana representasi resistensi perempuan dalam film </w:t>
      </w:r>
      <w:r w:rsidRPr="00B9031A">
        <w:rPr>
          <w:rFonts w:ascii="Times New Roman" w:eastAsia="Aptos" w:hAnsi="Times New Roman" w:cs="Times New Roman"/>
          <w:i/>
          <w:iCs/>
          <w:lang w:bidi="th-TH"/>
        </w:rPr>
        <w:t>Ipar Adalah Maut</w:t>
      </w:r>
      <w:r w:rsidRPr="00B9031A">
        <w:rPr>
          <w:rFonts w:ascii="Times New Roman" w:eastAsia="Aptos" w:hAnsi="Times New Roman" w:cs="Times New Roman"/>
          <w:lang w:bidi="th-TH"/>
        </w:rPr>
        <w:t xml:space="preserve">, serta nilai resistensi yang terkandung dalam film </w:t>
      </w:r>
      <w:r w:rsidRPr="00B9031A">
        <w:rPr>
          <w:rFonts w:ascii="Times New Roman" w:eastAsia="Aptos" w:hAnsi="Times New Roman" w:cs="Times New Roman"/>
          <w:i/>
          <w:iCs/>
          <w:lang w:bidi="th-TH"/>
        </w:rPr>
        <w:t xml:space="preserve">Ipar Adalah Maut </w:t>
      </w:r>
      <w:r w:rsidRPr="00B9031A">
        <w:rPr>
          <w:rFonts w:ascii="Times New Roman" w:eastAsia="Aptos" w:hAnsi="Times New Roman" w:cs="Times New Roman"/>
          <w:lang w:bidi="th-TH"/>
        </w:rPr>
        <w:t xml:space="preserve">khususnya dalam tinjauan analisis semiotika Roland Barthes. Dalam film </w:t>
      </w:r>
      <w:r w:rsidRPr="00B9031A">
        <w:rPr>
          <w:rFonts w:ascii="Times New Roman" w:eastAsia="Aptos" w:hAnsi="Times New Roman" w:cs="Times New Roman"/>
          <w:i/>
          <w:iCs/>
          <w:lang w:bidi="th-TH"/>
        </w:rPr>
        <w:t xml:space="preserve">Ipar Adalah Maut </w:t>
      </w:r>
      <w:r w:rsidRPr="00B9031A">
        <w:rPr>
          <w:rFonts w:ascii="Times New Roman" w:eastAsia="Aptos" w:hAnsi="Times New Roman" w:cs="Times New Roman"/>
          <w:lang w:bidi="th-TH"/>
        </w:rPr>
        <w:t xml:space="preserve">menjadikan sosok perempuan tidak mudah untuk ditindas dan melawan sifat laki-laki yang patriarki dimuat pada film </w:t>
      </w:r>
      <w:r w:rsidRPr="00B9031A">
        <w:rPr>
          <w:rFonts w:ascii="Times New Roman" w:eastAsia="Aptos" w:hAnsi="Times New Roman" w:cs="Times New Roman"/>
          <w:i/>
          <w:iCs/>
          <w:lang w:bidi="th-TH"/>
        </w:rPr>
        <w:t xml:space="preserve">Ipar Adalah Maut </w:t>
      </w:r>
      <w:r w:rsidRPr="00B9031A">
        <w:rPr>
          <w:rFonts w:ascii="Times New Roman" w:eastAsia="Aptos" w:hAnsi="Times New Roman" w:cs="Times New Roman"/>
          <w:lang w:bidi="th-TH"/>
        </w:rPr>
        <w:t>dan belum banyak yang dimunculkan dalam film Indonesia.</w:t>
      </w:r>
    </w:p>
    <w:p w14:paraId="2B3319A1" w14:textId="77777777" w:rsidR="00B9031A" w:rsidRPr="00B9031A" w:rsidRDefault="00B9031A" w:rsidP="00B9031A">
      <w:pPr>
        <w:spacing w:after="0" w:line="480" w:lineRule="auto"/>
        <w:ind w:left="720" w:firstLine="720"/>
        <w:jc w:val="both"/>
        <w:rPr>
          <w:rFonts w:ascii="Times New Roman" w:eastAsia="Aptos" w:hAnsi="Times New Roman" w:cs="Times New Roman"/>
          <w:lang w:bidi="th-TH"/>
        </w:rPr>
      </w:pPr>
      <w:r w:rsidRPr="00B9031A">
        <w:rPr>
          <w:rFonts w:ascii="Times New Roman" w:eastAsia="Aptos" w:hAnsi="Times New Roman" w:cs="Times New Roman"/>
          <w:lang w:bidi="th-TH"/>
        </w:rPr>
        <w:t xml:space="preserve">Dengan ini, peneliti tertarik untuk mengambil representasi resistensi perempuan sebagai objek penelitian, dengan meneliti salah satu film Indonesia yang berjudul </w:t>
      </w:r>
      <w:r w:rsidRPr="00B9031A">
        <w:rPr>
          <w:rFonts w:ascii="Times New Roman" w:eastAsia="Aptos" w:hAnsi="Times New Roman" w:cs="Times New Roman"/>
          <w:i/>
          <w:iCs/>
          <w:lang w:bidi="th-TH"/>
        </w:rPr>
        <w:t>Ipar Adalah Maut</w:t>
      </w:r>
      <w:r w:rsidRPr="00B9031A">
        <w:rPr>
          <w:rFonts w:ascii="Times New Roman" w:eastAsia="Aptos" w:hAnsi="Times New Roman" w:cs="Times New Roman"/>
          <w:lang w:bidi="th-TH"/>
        </w:rPr>
        <w:t xml:space="preserve">, film ini berfokus pada perempuan yang berjuang untuk kesetaraannya dengan kaum laki-laki. apalagi dalam lingkungan keluarga seperti perempuan yang menjadi titik </w:t>
      </w:r>
      <w:r w:rsidRPr="00B9031A">
        <w:rPr>
          <w:rFonts w:ascii="Times New Roman" w:eastAsia="Aptos" w:hAnsi="Times New Roman" w:cs="Times New Roman"/>
          <w:lang w:bidi="th-TH"/>
        </w:rPr>
        <w:lastRenderedPageBreak/>
        <w:t xml:space="preserve">subordinat. Fenomena ini sering terjadi di mana pun. Untuk itu, peneliti memfokuskan representasi resistensi perempuan dalam film </w:t>
      </w:r>
      <w:r w:rsidRPr="00B9031A">
        <w:rPr>
          <w:rFonts w:ascii="Times New Roman" w:eastAsia="Aptos" w:hAnsi="Times New Roman" w:cs="Times New Roman"/>
          <w:i/>
          <w:iCs/>
          <w:lang w:bidi="th-TH"/>
        </w:rPr>
        <w:t xml:space="preserve">Ipar Adalah Maut </w:t>
      </w:r>
      <w:r w:rsidRPr="00B9031A">
        <w:rPr>
          <w:rFonts w:ascii="Times New Roman" w:eastAsia="Aptos" w:hAnsi="Times New Roman" w:cs="Times New Roman"/>
          <w:lang w:bidi="th-TH"/>
        </w:rPr>
        <w:t>sesuai dengan penggambaran latar yang ada di film tersebut.</w:t>
      </w:r>
    </w:p>
    <w:p w14:paraId="626B0942" w14:textId="77777777" w:rsidR="00B9031A" w:rsidRPr="00B9031A" w:rsidRDefault="00B9031A" w:rsidP="00B9031A">
      <w:pPr>
        <w:spacing w:after="0" w:line="480" w:lineRule="auto"/>
        <w:ind w:left="720" w:firstLine="720"/>
        <w:jc w:val="both"/>
        <w:rPr>
          <w:rFonts w:ascii="Times New Roman" w:eastAsia="Aptos" w:hAnsi="Times New Roman" w:cs="Times New Roman"/>
          <w:lang w:bidi="th-TH"/>
        </w:rPr>
      </w:pPr>
      <w:r w:rsidRPr="00B9031A">
        <w:rPr>
          <w:rFonts w:ascii="Times New Roman" w:eastAsia="Aptos" w:hAnsi="Times New Roman" w:cs="Times New Roman"/>
          <w:lang w:val="fi-FI" w:bidi="th-TH"/>
        </w:rPr>
        <w:t xml:space="preserve">Pisau analisis pada penelitian ini menggunakan analisis semiotika Roland Barthes. Menurut Roland Barthes, Semiotika Roland Barthes mengembangkan pada dua kedudukan pertandaan, yaitu tingkat denotasi dan konotasi. </w:t>
      </w:r>
      <w:r w:rsidRPr="00B9031A">
        <w:rPr>
          <w:rFonts w:ascii="Times New Roman" w:eastAsia="Aptos" w:hAnsi="Times New Roman" w:cs="Times New Roman"/>
          <w:lang w:bidi="th-TH"/>
        </w:rPr>
        <w:t>Sumber terhadap penanda yang ditandai kerap disebut sebagai signifikasi tingkatan pertama (</w:t>
      </w:r>
      <w:r w:rsidRPr="00B9031A">
        <w:rPr>
          <w:rFonts w:ascii="Times New Roman" w:eastAsia="Aptos" w:hAnsi="Times New Roman" w:cs="Times New Roman"/>
          <w:i/>
          <w:iCs/>
          <w:lang w:bidi="th-TH"/>
        </w:rPr>
        <w:t>first order of signification</w:t>
      </w:r>
      <w:r w:rsidRPr="00B9031A">
        <w:rPr>
          <w:rFonts w:ascii="Times New Roman" w:eastAsia="Aptos" w:hAnsi="Times New Roman" w:cs="Times New Roman"/>
          <w:lang w:bidi="th-TH"/>
        </w:rPr>
        <w:t>) yaitu referensi denotasi. Maka dari itu, konotasi diberi sebutan sebagai sistem penanda pada tingkatan kedua (</w:t>
      </w:r>
      <w:r w:rsidRPr="00B9031A">
        <w:rPr>
          <w:rFonts w:ascii="Times New Roman" w:eastAsia="Aptos" w:hAnsi="Times New Roman" w:cs="Times New Roman"/>
          <w:i/>
          <w:iCs/>
          <w:lang w:bidi="th-TH"/>
        </w:rPr>
        <w:t>second order of system</w:t>
      </w:r>
      <w:r w:rsidRPr="00B9031A">
        <w:rPr>
          <w:rFonts w:ascii="Times New Roman" w:eastAsia="Aptos" w:hAnsi="Times New Roman" w:cs="Times New Roman"/>
          <w:lang w:bidi="th-TH"/>
        </w:rPr>
        <w:t>).</w:t>
      </w:r>
    </w:p>
    <w:p w14:paraId="3F4F05AA" w14:textId="77777777" w:rsidR="00B9031A" w:rsidRPr="00B9031A" w:rsidRDefault="00B9031A" w:rsidP="00B9031A">
      <w:pPr>
        <w:spacing w:after="0" w:line="480" w:lineRule="auto"/>
        <w:ind w:left="720" w:firstLine="720"/>
        <w:jc w:val="both"/>
        <w:rPr>
          <w:rFonts w:ascii="Times New Roman" w:eastAsia="Aptos" w:hAnsi="Times New Roman" w:cs="Times New Roman"/>
          <w:lang w:bidi="th-TH"/>
        </w:rPr>
      </w:pPr>
      <w:r w:rsidRPr="00B9031A">
        <w:rPr>
          <w:rFonts w:ascii="Times New Roman" w:eastAsia="Aptos" w:hAnsi="Times New Roman" w:cs="Times New Roman"/>
          <w:lang w:bidi="th-TH"/>
        </w:rPr>
        <w:t>Dalam teori tersebut mempunyai proses perkembangan antara hubungan petanda (</w:t>
      </w:r>
      <w:r w:rsidRPr="00B9031A">
        <w:rPr>
          <w:rFonts w:ascii="Times New Roman" w:eastAsia="Aptos" w:hAnsi="Times New Roman" w:cs="Times New Roman"/>
          <w:i/>
          <w:iCs/>
          <w:lang w:bidi="th-TH"/>
        </w:rPr>
        <w:t>signified</w:t>
      </w:r>
      <w:r w:rsidRPr="00B9031A">
        <w:rPr>
          <w:rFonts w:ascii="Times New Roman" w:eastAsia="Aptos" w:hAnsi="Times New Roman" w:cs="Times New Roman"/>
          <w:lang w:bidi="th-TH"/>
        </w:rPr>
        <w:t>) dan penanda (</w:t>
      </w:r>
      <w:r w:rsidRPr="00B9031A">
        <w:rPr>
          <w:rFonts w:ascii="Times New Roman" w:eastAsia="Aptos" w:hAnsi="Times New Roman" w:cs="Times New Roman"/>
          <w:i/>
          <w:iCs/>
          <w:lang w:bidi="th-TH"/>
        </w:rPr>
        <w:t>signifier</w:t>
      </w:r>
      <w:r w:rsidRPr="00B9031A">
        <w:rPr>
          <w:rFonts w:ascii="Times New Roman" w:eastAsia="Aptos" w:hAnsi="Times New Roman" w:cs="Times New Roman"/>
          <w:lang w:bidi="th-TH"/>
        </w:rPr>
        <w:t>) dengan denotasi dan juga konotasi. Denotasi yang sebagai penanda merupakan sebuah alat (</w:t>
      </w:r>
      <w:r w:rsidRPr="00B9031A">
        <w:rPr>
          <w:rFonts w:ascii="Times New Roman" w:eastAsia="Aptos" w:hAnsi="Times New Roman" w:cs="Times New Roman"/>
          <w:i/>
          <w:iCs/>
          <w:lang w:bidi="th-TH"/>
        </w:rPr>
        <w:t>actual function/object properties</w:t>
      </w:r>
      <w:r w:rsidRPr="00B9031A">
        <w:rPr>
          <w:rFonts w:ascii="Times New Roman" w:eastAsia="Aptos" w:hAnsi="Times New Roman" w:cs="Times New Roman"/>
          <w:lang w:bidi="th-TH"/>
        </w:rPr>
        <w:t xml:space="preserve">) dan secara konotasi penanda merupakan wujud dari suatu petanda. </w:t>
      </w:r>
    </w:p>
    <w:p w14:paraId="45DAF971" w14:textId="77777777" w:rsidR="00B9031A" w:rsidRDefault="00B9031A" w:rsidP="00B9031A">
      <w:pPr>
        <w:spacing w:after="0" w:line="480" w:lineRule="auto"/>
        <w:ind w:left="720" w:firstLine="720"/>
        <w:jc w:val="both"/>
        <w:rPr>
          <w:rFonts w:ascii="Times New Roman" w:eastAsia="Aptos" w:hAnsi="Times New Roman" w:cs="Times New Roman"/>
          <w:lang w:bidi="th-TH"/>
        </w:rPr>
      </w:pPr>
      <w:r w:rsidRPr="00B9031A">
        <w:rPr>
          <w:rFonts w:ascii="Times New Roman" w:eastAsia="Aptos" w:hAnsi="Times New Roman" w:cs="Times New Roman"/>
          <w:lang w:bidi="th-TH"/>
        </w:rPr>
        <w:t>Petanda bisa berbentuk makna, konsep, dan gagasan, sedangkan penanda adalah alat untuk memberikan gambaran yang berupa penjelasan fisik objek, kondisi objek, juga cenderung kepada ciri-ciri bentuk. Tidak hanya menjelaskan tanda pada suatu susunan bahasa, namun menambahkan unsur-unsur mitos dari setiap budaya atau pemikiran yang dianut oleh peneliti sendiri. Penggunaan mitos untuk memberikan dukungan penanda dan petanda supaya menjadi penjelasan yang lebih logis.</w:t>
      </w:r>
    </w:p>
    <w:p w14:paraId="333450A8" w14:textId="57D5F313" w:rsidR="00B9031A" w:rsidRPr="00B9031A" w:rsidRDefault="00B9031A" w:rsidP="00B9031A">
      <w:pPr>
        <w:spacing w:after="0" w:line="480" w:lineRule="auto"/>
        <w:ind w:left="720" w:firstLine="720"/>
        <w:jc w:val="both"/>
        <w:rPr>
          <w:rFonts w:ascii="Times New Roman" w:eastAsia="Aptos" w:hAnsi="Times New Roman" w:cs="Times New Roman"/>
          <w:lang w:bidi="th-TH"/>
        </w:rPr>
      </w:pPr>
      <w:r w:rsidRPr="00B9031A">
        <w:rPr>
          <w:rFonts w:ascii="Times New Roman" w:eastAsia="Aptos" w:hAnsi="Times New Roman" w:cs="Times New Roman"/>
          <w:lang w:bidi="th-TH"/>
        </w:rPr>
        <w:lastRenderedPageBreak/>
        <w:t xml:space="preserve">Berdasarkan data dari unsur semiotik tersebut, peneliti mengambil data dari </w:t>
      </w:r>
      <w:r w:rsidRPr="00B9031A">
        <w:rPr>
          <w:rFonts w:ascii="Times New Roman" w:eastAsia="Aptos" w:hAnsi="Times New Roman" w:cs="Times New Roman"/>
          <w:i/>
          <w:iCs/>
          <w:lang w:bidi="th-TH"/>
        </w:rPr>
        <w:t>scene</w:t>
      </w:r>
      <w:r w:rsidRPr="00B9031A">
        <w:rPr>
          <w:rFonts w:ascii="Times New Roman" w:eastAsia="Aptos" w:hAnsi="Times New Roman" w:cs="Times New Roman"/>
          <w:lang w:bidi="th-TH"/>
        </w:rPr>
        <w:t xml:space="preserve"> di film yang menggambarkan representasi resistensi perempuan dalam film </w:t>
      </w:r>
      <w:r w:rsidRPr="00B9031A">
        <w:rPr>
          <w:rFonts w:ascii="Times New Roman" w:eastAsia="Aptos" w:hAnsi="Times New Roman" w:cs="Times New Roman"/>
          <w:i/>
          <w:iCs/>
          <w:lang w:bidi="th-TH"/>
        </w:rPr>
        <w:t>Ipar Adalah Maut</w:t>
      </w:r>
      <w:r w:rsidRPr="00B9031A">
        <w:rPr>
          <w:rFonts w:ascii="Times New Roman" w:eastAsia="Aptos" w:hAnsi="Times New Roman" w:cs="Times New Roman"/>
          <w:lang w:bidi="th-TH"/>
        </w:rPr>
        <w:t xml:space="preserve">. Peneliti memberikan validasi dengan teori representasi Stuart Hall yang mengacu pada bagaimana pemaknaan terhadap tanda-tanda yang muncul. </w:t>
      </w:r>
      <w:r w:rsidRPr="00B9031A">
        <w:rPr>
          <w:rFonts w:ascii="Times New Roman" w:eastAsia="Aptos" w:hAnsi="Times New Roman" w:cs="Times New Roman"/>
          <w:lang w:val="fi-FI" w:bidi="th-TH"/>
        </w:rPr>
        <w:t xml:space="preserve">Seperti yang akan dibahas oleh peneliti mengenai resistensi perempuan dalam film </w:t>
      </w:r>
      <w:r w:rsidRPr="00B9031A">
        <w:rPr>
          <w:rFonts w:ascii="Times New Roman" w:eastAsia="Aptos" w:hAnsi="Times New Roman" w:cs="Times New Roman"/>
          <w:i/>
          <w:iCs/>
          <w:lang w:val="fi-FI" w:bidi="th-TH"/>
        </w:rPr>
        <w:t>Ipar Adalah Maut</w:t>
      </w:r>
      <w:r w:rsidRPr="00B9031A">
        <w:rPr>
          <w:rFonts w:ascii="Times New Roman" w:eastAsia="Aptos" w:hAnsi="Times New Roman" w:cs="Times New Roman"/>
          <w:lang w:val="fi-FI" w:bidi="th-TH"/>
        </w:rPr>
        <w:t>.</w:t>
      </w:r>
    </w:p>
    <w:sectPr w:rsidR="00B9031A" w:rsidRPr="00B9031A" w:rsidSect="00B9031A">
      <w:footerReference w:type="default" r:id="rId9"/>
      <w:pgSz w:w="11906" w:h="16838"/>
      <w:pgMar w:top="2268" w:right="1701" w:bottom="1701" w:left="2268" w:header="708" w:footer="708" w:gutter="0"/>
      <w:pgNumType w:start="1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18A63" w14:textId="77777777" w:rsidR="00297067" w:rsidRDefault="00297067" w:rsidP="00B9031A">
      <w:pPr>
        <w:spacing w:after="0" w:line="240" w:lineRule="auto"/>
      </w:pPr>
      <w:r>
        <w:separator/>
      </w:r>
    </w:p>
  </w:endnote>
  <w:endnote w:type="continuationSeparator" w:id="0">
    <w:p w14:paraId="403FEE44" w14:textId="77777777" w:rsidR="00297067" w:rsidRDefault="00297067" w:rsidP="00B903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379401914"/>
      <w:docPartObj>
        <w:docPartGallery w:val="Page Numbers (Bottom of Page)"/>
        <w:docPartUnique/>
      </w:docPartObj>
    </w:sdtPr>
    <w:sdtEndPr>
      <w:rPr>
        <w:noProof/>
      </w:rPr>
    </w:sdtEndPr>
    <w:sdtContent>
      <w:p w14:paraId="034F7872" w14:textId="44D684CF" w:rsidR="00B9031A" w:rsidRPr="00B9031A" w:rsidRDefault="00B9031A">
        <w:pPr>
          <w:pStyle w:val="Footer"/>
          <w:jc w:val="center"/>
          <w:rPr>
            <w:rFonts w:ascii="Times New Roman" w:hAnsi="Times New Roman" w:cs="Times New Roman"/>
          </w:rPr>
        </w:pPr>
        <w:r w:rsidRPr="00B9031A">
          <w:rPr>
            <w:rFonts w:ascii="Times New Roman" w:hAnsi="Times New Roman" w:cs="Times New Roman"/>
          </w:rPr>
          <w:fldChar w:fldCharType="begin"/>
        </w:r>
        <w:r w:rsidRPr="00B9031A">
          <w:rPr>
            <w:rFonts w:ascii="Times New Roman" w:hAnsi="Times New Roman" w:cs="Times New Roman"/>
          </w:rPr>
          <w:instrText xml:space="preserve"> PAGE   \* MERGEFORMAT </w:instrText>
        </w:r>
        <w:r w:rsidRPr="00B9031A">
          <w:rPr>
            <w:rFonts w:ascii="Times New Roman" w:hAnsi="Times New Roman" w:cs="Times New Roman"/>
          </w:rPr>
          <w:fldChar w:fldCharType="separate"/>
        </w:r>
        <w:r w:rsidRPr="00B9031A">
          <w:rPr>
            <w:rFonts w:ascii="Times New Roman" w:hAnsi="Times New Roman" w:cs="Times New Roman"/>
            <w:noProof/>
          </w:rPr>
          <w:t>2</w:t>
        </w:r>
        <w:r w:rsidRPr="00B9031A">
          <w:rPr>
            <w:rFonts w:ascii="Times New Roman" w:hAnsi="Times New Roman" w:cs="Times New Roman"/>
            <w:noProof/>
          </w:rPr>
          <w:fldChar w:fldCharType="end"/>
        </w:r>
      </w:p>
    </w:sdtContent>
  </w:sdt>
  <w:p w14:paraId="222D6BDA" w14:textId="77777777" w:rsidR="00B9031A" w:rsidRPr="00B9031A" w:rsidRDefault="00B9031A">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EA5294" w14:textId="77777777" w:rsidR="00297067" w:rsidRDefault="00297067" w:rsidP="00B9031A">
      <w:pPr>
        <w:spacing w:after="0" w:line="240" w:lineRule="auto"/>
      </w:pPr>
      <w:r>
        <w:separator/>
      </w:r>
    </w:p>
  </w:footnote>
  <w:footnote w:type="continuationSeparator" w:id="0">
    <w:p w14:paraId="0A21EA63" w14:textId="77777777" w:rsidR="00297067" w:rsidRDefault="00297067" w:rsidP="00B903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40480"/>
    <w:multiLevelType w:val="hybridMultilevel"/>
    <w:tmpl w:val="BAA60ECC"/>
    <w:lvl w:ilvl="0" w:tplc="8B328C0A">
      <w:start w:val="1"/>
      <w:numFmt w:val="upperLetter"/>
      <w:lvlText w:val="%1."/>
      <w:lvlJc w:val="left"/>
      <w:pPr>
        <w:ind w:left="360" w:hanging="360"/>
      </w:pPr>
      <w:rPr>
        <w:rFonts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1A5B55AF"/>
    <w:multiLevelType w:val="hybridMultilevel"/>
    <w:tmpl w:val="1C5ECB90"/>
    <w:lvl w:ilvl="0" w:tplc="38090019">
      <w:start w:val="1"/>
      <w:numFmt w:val="lowerLetter"/>
      <w:lvlText w:val="%1."/>
      <w:lvlJc w:val="left"/>
      <w:pPr>
        <w:ind w:left="1440" w:hanging="360"/>
      </w:pPr>
      <w:rPr>
        <w:rFonts w:hint="default"/>
        <w:b w:val="0"/>
        <w:bCs w:val="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30903A18"/>
    <w:multiLevelType w:val="hybridMultilevel"/>
    <w:tmpl w:val="B37E7380"/>
    <w:lvl w:ilvl="0" w:tplc="797E3B1C">
      <w:start w:val="3"/>
      <w:numFmt w:val="decimal"/>
      <w:lvlText w:val="%1."/>
      <w:lvlJc w:val="left"/>
      <w:pPr>
        <w:ind w:left="1080" w:hanging="360"/>
      </w:pPr>
      <w:rPr>
        <w:rFonts w:hint="default"/>
      </w:rPr>
    </w:lvl>
    <w:lvl w:ilvl="1" w:tplc="38090019" w:tentative="1">
      <w:start w:val="1"/>
      <w:numFmt w:val="lowerLetter"/>
      <w:lvlText w:val="%2."/>
      <w:lvlJc w:val="left"/>
      <w:pPr>
        <w:ind w:left="1083" w:hanging="360"/>
      </w:pPr>
    </w:lvl>
    <w:lvl w:ilvl="2" w:tplc="3809001B" w:tentative="1">
      <w:start w:val="1"/>
      <w:numFmt w:val="lowerRoman"/>
      <w:lvlText w:val="%3."/>
      <w:lvlJc w:val="right"/>
      <w:pPr>
        <w:ind w:left="1803" w:hanging="180"/>
      </w:pPr>
    </w:lvl>
    <w:lvl w:ilvl="3" w:tplc="3809000F" w:tentative="1">
      <w:start w:val="1"/>
      <w:numFmt w:val="decimal"/>
      <w:lvlText w:val="%4."/>
      <w:lvlJc w:val="left"/>
      <w:pPr>
        <w:ind w:left="2523" w:hanging="360"/>
      </w:pPr>
    </w:lvl>
    <w:lvl w:ilvl="4" w:tplc="38090019" w:tentative="1">
      <w:start w:val="1"/>
      <w:numFmt w:val="lowerLetter"/>
      <w:lvlText w:val="%5."/>
      <w:lvlJc w:val="left"/>
      <w:pPr>
        <w:ind w:left="3243" w:hanging="360"/>
      </w:pPr>
    </w:lvl>
    <w:lvl w:ilvl="5" w:tplc="3809001B" w:tentative="1">
      <w:start w:val="1"/>
      <w:numFmt w:val="lowerRoman"/>
      <w:lvlText w:val="%6."/>
      <w:lvlJc w:val="right"/>
      <w:pPr>
        <w:ind w:left="3963" w:hanging="180"/>
      </w:pPr>
    </w:lvl>
    <w:lvl w:ilvl="6" w:tplc="3809000F" w:tentative="1">
      <w:start w:val="1"/>
      <w:numFmt w:val="decimal"/>
      <w:lvlText w:val="%7."/>
      <w:lvlJc w:val="left"/>
      <w:pPr>
        <w:ind w:left="4683" w:hanging="360"/>
      </w:pPr>
    </w:lvl>
    <w:lvl w:ilvl="7" w:tplc="38090019" w:tentative="1">
      <w:start w:val="1"/>
      <w:numFmt w:val="lowerLetter"/>
      <w:lvlText w:val="%8."/>
      <w:lvlJc w:val="left"/>
      <w:pPr>
        <w:ind w:left="5403" w:hanging="360"/>
      </w:pPr>
    </w:lvl>
    <w:lvl w:ilvl="8" w:tplc="3809001B" w:tentative="1">
      <w:start w:val="1"/>
      <w:numFmt w:val="lowerRoman"/>
      <w:lvlText w:val="%9."/>
      <w:lvlJc w:val="right"/>
      <w:pPr>
        <w:ind w:left="6123" w:hanging="180"/>
      </w:pPr>
    </w:lvl>
  </w:abstractNum>
  <w:abstractNum w:abstractNumId="3" w15:restartNumberingAfterBreak="0">
    <w:nsid w:val="4445601D"/>
    <w:multiLevelType w:val="hybridMultilevel"/>
    <w:tmpl w:val="289E8FD0"/>
    <w:lvl w:ilvl="0" w:tplc="6214FEA6">
      <w:start w:val="2"/>
      <w:numFmt w:val="upperLetter"/>
      <w:lvlText w:val="%1."/>
      <w:lvlJc w:val="left"/>
      <w:pPr>
        <w:ind w:left="360" w:hanging="360"/>
      </w:pPr>
      <w:rPr>
        <w:rFonts w:hint="default"/>
        <w:b/>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4CEB1DCE"/>
    <w:multiLevelType w:val="hybridMultilevel"/>
    <w:tmpl w:val="C0F4DB9C"/>
    <w:lvl w:ilvl="0" w:tplc="38090019">
      <w:start w:val="1"/>
      <w:numFmt w:val="lowerLetter"/>
      <w:lvlText w:val="%1."/>
      <w:lvlJc w:val="left"/>
      <w:pPr>
        <w:ind w:left="1080" w:hanging="360"/>
      </w:pPr>
      <w:rPr>
        <w:rFonts w:hint="default"/>
      </w:rPr>
    </w:lvl>
    <w:lvl w:ilvl="1" w:tplc="38090019">
      <w:start w:val="1"/>
      <w:numFmt w:val="lowerLetter"/>
      <w:lvlText w:val="%2."/>
      <w:lvlJc w:val="left"/>
      <w:pPr>
        <w:ind w:left="1800" w:hanging="360"/>
      </w:pPr>
    </w:lvl>
    <w:lvl w:ilvl="2" w:tplc="38090005" w:tentative="1">
      <w:start w:val="1"/>
      <w:numFmt w:val="bullet"/>
      <w:lvlText w:val=""/>
      <w:lvlJc w:val="left"/>
      <w:pPr>
        <w:ind w:left="2520" w:hanging="360"/>
      </w:pPr>
      <w:rPr>
        <w:rFonts w:ascii="Wingdings" w:hAnsi="Wingdings" w:hint="default"/>
      </w:rPr>
    </w:lvl>
    <w:lvl w:ilvl="3" w:tplc="38090001" w:tentative="1">
      <w:start w:val="1"/>
      <w:numFmt w:val="bullet"/>
      <w:lvlText w:val=""/>
      <w:lvlJc w:val="left"/>
      <w:pPr>
        <w:ind w:left="3240" w:hanging="360"/>
      </w:pPr>
      <w:rPr>
        <w:rFonts w:ascii="Symbol" w:hAnsi="Symbol" w:hint="default"/>
      </w:rPr>
    </w:lvl>
    <w:lvl w:ilvl="4" w:tplc="38090003" w:tentative="1">
      <w:start w:val="1"/>
      <w:numFmt w:val="bullet"/>
      <w:lvlText w:val="o"/>
      <w:lvlJc w:val="left"/>
      <w:pPr>
        <w:ind w:left="3960" w:hanging="360"/>
      </w:pPr>
      <w:rPr>
        <w:rFonts w:ascii="Courier New" w:hAnsi="Courier New" w:cs="Courier New" w:hint="default"/>
      </w:rPr>
    </w:lvl>
    <w:lvl w:ilvl="5" w:tplc="38090005" w:tentative="1">
      <w:start w:val="1"/>
      <w:numFmt w:val="bullet"/>
      <w:lvlText w:val=""/>
      <w:lvlJc w:val="left"/>
      <w:pPr>
        <w:ind w:left="4680" w:hanging="360"/>
      </w:pPr>
      <w:rPr>
        <w:rFonts w:ascii="Wingdings" w:hAnsi="Wingdings" w:hint="default"/>
      </w:rPr>
    </w:lvl>
    <w:lvl w:ilvl="6" w:tplc="38090001" w:tentative="1">
      <w:start w:val="1"/>
      <w:numFmt w:val="bullet"/>
      <w:lvlText w:val=""/>
      <w:lvlJc w:val="left"/>
      <w:pPr>
        <w:ind w:left="5400" w:hanging="360"/>
      </w:pPr>
      <w:rPr>
        <w:rFonts w:ascii="Symbol" w:hAnsi="Symbol" w:hint="default"/>
      </w:rPr>
    </w:lvl>
    <w:lvl w:ilvl="7" w:tplc="38090003" w:tentative="1">
      <w:start w:val="1"/>
      <w:numFmt w:val="bullet"/>
      <w:lvlText w:val="o"/>
      <w:lvlJc w:val="left"/>
      <w:pPr>
        <w:ind w:left="6120" w:hanging="360"/>
      </w:pPr>
      <w:rPr>
        <w:rFonts w:ascii="Courier New" w:hAnsi="Courier New" w:cs="Courier New" w:hint="default"/>
      </w:rPr>
    </w:lvl>
    <w:lvl w:ilvl="8" w:tplc="38090005" w:tentative="1">
      <w:start w:val="1"/>
      <w:numFmt w:val="bullet"/>
      <w:lvlText w:val=""/>
      <w:lvlJc w:val="left"/>
      <w:pPr>
        <w:ind w:left="6840" w:hanging="360"/>
      </w:pPr>
      <w:rPr>
        <w:rFonts w:ascii="Wingdings" w:hAnsi="Wingdings" w:hint="default"/>
      </w:rPr>
    </w:lvl>
  </w:abstractNum>
  <w:abstractNum w:abstractNumId="5" w15:restartNumberingAfterBreak="0">
    <w:nsid w:val="53D85DD8"/>
    <w:multiLevelType w:val="hybridMultilevel"/>
    <w:tmpl w:val="DD42CADA"/>
    <w:lvl w:ilvl="0" w:tplc="15F01152">
      <w:start w:val="2"/>
      <w:numFmt w:val="decimal"/>
      <w:lvlText w:val="%1."/>
      <w:lvlJc w:val="left"/>
      <w:pPr>
        <w:ind w:left="1080" w:hanging="360"/>
      </w:pPr>
      <w:rPr>
        <w:rFonts w:hint="default"/>
      </w:rPr>
    </w:lvl>
    <w:lvl w:ilvl="1" w:tplc="38090019" w:tentative="1">
      <w:start w:val="1"/>
      <w:numFmt w:val="lowerLetter"/>
      <w:lvlText w:val="%2."/>
      <w:lvlJc w:val="left"/>
      <w:pPr>
        <w:ind w:left="1083" w:hanging="360"/>
      </w:pPr>
    </w:lvl>
    <w:lvl w:ilvl="2" w:tplc="3809001B" w:tentative="1">
      <w:start w:val="1"/>
      <w:numFmt w:val="lowerRoman"/>
      <w:lvlText w:val="%3."/>
      <w:lvlJc w:val="right"/>
      <w:pPr>
        <w:ind w:left="1803" w:hanging="180"/>
      </w:pPr>
    </w:lvl>
    <w:lvl w:ilvl="3" w:tplc="3809000F" w:tentative="1">
      <w:start w:val="1"/>
      <w:numFmt w:val="decimal"/>
      <w:lvlText w:val="%4."/>
      <w:lvlJc w:val="left"/>
      <w:pPr>
        <w:ind w:left="2523" w:hanging="360"/>
      </w:pPr>
    </w:lvl>
    <w:lvl w:ilvl="4" w:tplc="38090019" w:tentative="1">
      <w:start w:val="1"/>
      <w:numFmt w:val="lowerLetter"/>
      <w:lvlText w:val="%5."/>
      <w:lvlJc w:val="left"/>
      <w:pPr>
        <w:ind w:left="3243" w:hanging="360"/>
      </w:pPr>
    </w:lvl>
    <w:lvl w:ilvl="5" w:tplc="3809001B" w:tentative="1">
      <w:start w:val="1"/>
      <w:numFmt w:val="lowerRoman"/>
      <w:lvlText w:val="%6."/>
      <w:lvlJc w:val="right"/>
      <w:pPr>
        <w:ind w:left="3963" w:hanging="180"/>
      </w:pPr>
    </w:lvl>
    <w:lvl w:ilvl="6" w:tplc="3809000F" w:tentative="1">
      <w:start w:val="1"/>
      <w:numFmt w:val="decimal"/>
      <w:lvlText w:val="%7."/>
      <w:lvlJc w:val="left"/>
      <w:pPr>
        <w:ind w:left="4683" w:hanging="360"/>
      </w:pPr>
    </w:lvl>
    <w:lvl w:ilvl="7" w:tplc="38090019" w:tentative="1">
      <w:start w:val="1"/>
      <w:numFmt w:val="lowerLetter"/>
      <w:lvlText w:val="%8."/>
      <w:lvlJc w:val="left"/>
      <w:pPr>
        <w:ind w:left="5403" w:hanging="360"/>
      </w:pPr>
    </w:lvl>
    <w:lvl w:ilvl="8" w:tplc="3809001B" w:tentative="1">
      <w:start w:val="1"/>
      <w:numFmt w:val="lowerRoman"/>
      <w:lvlText w:val="%9."/>
      <w:lvlJc w:val="right"/>
      <w:pPr>
        <w:ind w:left="6123" w:hanging="180"/>
      </w:pPr>
    </w:lvl>
  </w:abstractNum>
  <w:abstractNum w:abstractNumId="6" w15:restartNumberingAfterBreak="0">
    <w:nsid w:val="57B4574D"/>
    <w:multiLevelType w:val="hybridMultilevel"/>
    <w:tmpl w:val="B8BC9CB2"/>
    <w:lvl w:ilvl="0" w:tplc="8B88677C">
      <w:start w:val="5"/>
      <w:numFmt w:val="decimal"/>
      <w:lvlText w:val="%1."/>
      <w:lvlJc w:val="left"/>
      <w:pPr>
        <w:ind w:left="360" w:hanging="360"/>
      </w:pPr>
      <w:rPr>
        <w:rFonts w:hint="default"/>
      </w:rPr>
    </w:lvl>
    <w:lvl w:ilvl="1" w:tplc="38090019" w:tentative="1">
      <w:start w:val="1"/>
      <w:numFmt w:val="lowerLetter"/>
      <w:lvlText w:val="%2."/>
      <w:lvlJc w:val="left"/>
      <w:pPr>
        <w:ind w:left="363" w:hanging="360"/>
      </w:pPr>
    </w:lvl>
    <w:lvl w:ilvl="2" w:tplc="3809001B" w:tentative="1">
      <w:start w:val="1"/>
      <w:numFmt w:val="lowerRoman"/>
      <w:lvlText w:val="%3."/>
      <w:lvlJc w:val="right"/>
      <w:pPr>
        <w:ind w:left="1083" w:hanging="180"/>
      </w:pPr>
    </w:lvl>
    <w:lvl w:ilvl="3" w:tplc="3809000F" w:tentative="1">
      <w:start w:val="1"/>
      <w:numFmt w:val="decimal"/>
      <w:lvlText w:val="%4."/>
      <w:lvlJc w:val="left"/>
      <w:pPr>
        <w:ind w:left="1803" w:hanging="360"/>
      </w:pPr>
    </w:lvl>
    <w:lvl w:ilvl="4" w:tplc="38090019" w:tentative="1">
      <w:start w:val="1"/>
      <w:numFmt w:val="lowerLetter"/>
      <w:lvlText w:val="%5."/>
      <w:lvlJc w:val="left"/>
      <w:pPr>
        <w:ind w:left="2523" w:hanging="360"/>
      </w:pPr>
    </w:lvl>
    <w:lvl w:ilvl="5" w:tplc="3809001B" w:tentative="1">
      <w:start w:val="1"/>
      <w:numFmt w:val="lowerRoman"/>
      <w:lvlText w:val="%6."/>
      <w:lvlJc w:val="right"/>
      <w:pPr>
        <w:ind w:left="3243" w:hanging="180"/>
      </w:pPr>
    </w:lvl>
    <w:lvl w:ilvl="6" w:tplc="3809000F" w:tentative="1">
      <w:start w:val="1"/>
      <w:numFmt w:val="decimal"/>
      <w:lvlText w:val="%7."/>
      <w:lvlJc w:val="left"/>
      <w:pPr>
        <w:ind w:left="3963" w:hanging="360"/>
      </w:pPr>
    </w:lvl>
    <w:lvl w:ilvl="7" w:tplc="38090019" w:tentative="1">
      <w:start w:val="1"/>
      <w:numFmt w:val="lowerLetter"/>
      <w:lvlText w:val="%8."/>
      <w:lvlJc w:val="left"/>
      <w:pPr>
        <w:ind w:left="4683" w:hanging="360"/>
      </w:pPr>
    </w:lvl>
    <w:lvl w:ilvl="8" w:tplc="3809001B" w:tentative="1">
      <w:start w:val="1"/>
      <w:numFmt w:val="lowerRoman"/>
      <w:lvlText w:val="%9."/>
      <w:lvlJc w:val="right"/>
      <w:pPr>
        <w:ind w:left="5403" w:hanging="180"/>
      </w:pPr>
    </w:lvl>
  </w:abstractNum>
  <w:abstractNum w:abstractNumId="7" w15:restartNumberingAfterBreak="0">
    <w:nsid w:val="58020FDB"/>
    <w:multiLevelType w:val="hybridMultilevel"/>
    <w:tmpl w:val="94981324"/>
    <w:lvl w:ilvl="0" w:tplc="3809000F">
      <w:start w:val="1"/>
      <w:numFmt w:val="decimal"/>
      <w:lvlText w:val="%1."/>
      <w:lvlJc w:val="left"/>
      <w:pPr>
        <w:ind w:left="1437" w:hanging="360"/>
      </w:pPr>
    </w:lvl>
    <w:lvl w:ilvl="1" w:tplc="38090019" w:tentative="1">
      <w:start w:val="1"/>
      <w:numFmt w:val="lowerLetter"/>
      <w:lvlText w:val="%2."/>
      <w:lvlJc w:val="left"/>
      <w:pPr>
        <w:ind w:left="2157" w:hanging="360"/>
      </w:pPr>
    </w:lvl>
    <w:lvl w:ilvl="2" w:tplc="3809001B" w:tentative="1">
      <w:start w:val="1"/>
      <w:numFmt w:val="lowerRoman"/>
      <w:lvlText w:val="%3."/>
      <w:lvlJc w:val="right"/>
      <w:pPr>
        <w:ind w:left="2877" w:hanging="180"/>
      </w:pPr>
    </w:lvl>
    <w:lvl w:ilvl="3" w:tplc="3809000F" w:tentative="1">
      <w:start w:val="1"/>
      <w:numFmt w:val="decimal"/>
      <w:lvlText w:val="%4."/>
      <w:lvlJc w:val="left"/>
      <w:pPr>
        <w:ind w:left="3597" w:hanging="360"/>
      </w:pPr>
    </w:lvl>
    <w:lvl w:ilvl="4" w:tplc="38090019" w:tentative="1">
      <w:start w:val="1"/>
      <w:numFmt w:val="lowerLetter"/>
      <w:lvlText w:val="%5."/>
      <w:lvlJc w:val="left"/>
      <w:pPr>
        <w:ind w:left="4317" w:hanging="360"/>
      </w:pPr>
    </w:lvl>
    <w:lvl w:ilvl="5" w:tplc="3809001B" w:tentative="1">
      <w:start w:val="1"/>
      <w:numFmt w:val="lowerRoman"/>
      <w:lvlText w:val="%6."/>
      <w:lvlJc w:val="right"/>
      <w:pPr>
        <w:ind w:left="5037" w:hanging="180"/>
      </w:pPr>
    </w:lvl>
    <w:lvl w:ilvl="6" w:tplc="3809000F" w:tentative="1">
      <w:start w:val="1"/>
      <w:numFmt w:val="decimal"/>
      <w:lvlText w:val="%7."/>
      <w:lvlJc w:val="left"/>
      <w:pPr>
        <w:ind w:left="5757" w:hanging="360"/>
      </w:pPr>
    </w:lvl>
    <w:lvl w:ilvl="7" w:tplc="38090019" w:tentative="1">
      <w:start w:val="1"/>
      <w:numFmt w:val="lowerLetter"/>
      <w:lvlText w:val="%8."/>
      <w:lvlJc w:val="left"/>
      <w:pPr>
        <w:ind w:left="6477" w:hanging="360"/>
      </w:pPr>
    </w:lvl>
    <w:lvl w:ilvl="8" w:tplc="3809001B" w:tentative="1">
      <w:start w:val="1"/>
      <w:numFmt w:val="lowerRoman"/>
      <w:lvlText w:val="%9."/>
      <w:lvlJc w:val="right"/>
      <w:pPr>
        <w:ind w:left="7197" w:hanging="180"/>
      </w:pPr>
    </w:lvl>
  </w:abstractNum>
  <w:abstractNum w:abstractNumId="8" w15:restartNumberingAfterBreak="0">
    <w:nsid w:val="5F8E0DA3"/>
    <w:multiLevelType w:val="hybridMultilevel"/>
    <w:tmpl w:val="3F588E96"/>
    <w:lvl w:ilvl="0" w:tplc="7CE26232">
      <w:start w:val="1"/>
      <w:numFmt w:val="decimal"/>
      <w:lvlText w:val="%1)"/>
      <w:lvlJc w:val="left"/>
      <w:pPr>
        <w:ind w:left="1437" w:hanging="360"/>
      </w:pPr>
      <w:rPr>
        <w:b w:val="0"/>
        <w:bCs w:val="0"/>
      </w:rPr>
    </w:lvl>
    <w:lvl w:ilvl="1" w:tplc="38090019" w:tentative="1">
      <w:start w:val="1"/>
      <w:numFmt w:val="lowerLetter"/>
      <w:lvlText w:val="%2."/>
      <w:lvlJc w:val="left"/>
      <w:pPr>
        <w:ind w:left="2157" w:hanging="360"/>
      </w:pPr>
    </w:lvl>
    <w:lvl w:ilvl="2" w:tplc="3809001B" w:tentative="1">
      <w:start w:val="1"/>
      <w:numFmt w:val="lowerRoman"/>
      <w:lvlText w:val="%3."/>
      <w:lvlJc w:val="right"/>
      <w:pPr>
        <w:ind w:left="2877" w:hanging="180"/>
      </w:pPr>
    </w:lvl>
    <w:lvl w:ilvl="3" w:tplc="3809000F" w:tentative="1">
      <w:start w:val="1"/>
      <w:numFmt w:val="decimal"/>
      <w:lvlText w:val="%4."/>
      <w:lvlJc w:val="left"/>
      <w:pPr>
        <w:ind w:left="3597" w:hanging="360"/>
      </w:pPr>
    </w:lvl>
    <w:lvl w:ilvl="4" w:tplc="38090019" w:tentative="1">
      <w:start w:val="1"/>
      <w:numFmt w:val="lowerLetter"/>
      <w:lvlText w:val="%5."/>
      <w:lvlJc w:val="left"/>
      <w:pPr>
        <w:ind w:left="4317" w:hanging="360"/>
      </w:pPr>
    </w:lvl>
    <w:lvl w:ilvl="5" w:tplc="3809001B" w:tentative="1">
      <w:start w:val="1"/>
      <w:numFmt w:val="lowerRoman"/>
      <w:lvlText w:val="%6."/>
      <w:lvlJc w:val="right"/>
      <w:pPr>
        <w:ind w:left="5037" w:hanging="180"/>
      </w:pPr>
    </w:lvl>
    <w:lvl w:ilvl="6" w:tplc="3809000F" w:tentative="1">
      <w:start w:val="1"/>
      <w:numFmt w:val="decimal"/>
      <w:lvlText w:val="%7."/>
      <w:lvlJc w:val="left"/>
      <w:pPr>
        <w:ind w:left="5757" w:hanging="360"/>
      </w:pPr>
    </w:lvl>
    <w:lvl w:ilvl="7" w:tplc="38090019" w:tentative="1">
      <w:start w:val="1"/>
      <w:numFmt w:val="lowerLetter"/>
      <w:lvlText w:val="%8."/>
      <w:lvlJc w:val="left"/>
      <w:pPr>
        <w:ind w:left="6477" w:hanging="360"/>
      </w:pPr>
    </w:lvl>
    <w:lvl w:ilvl="8" w:tplc="3809001B" w:tentative="1">
      <w:start w:val="1"/>
      <w:numFmt w:val="lowerRoman"/>
      <w:lvlText w:val="%9."/>
      <w:lvlJc w:val="right"/>
      <w:pPr>
        <w:ind w:left="7197" w:hanging="180"/>
      </w:pPr>
    </w:lvl>
  </w:abstractNum>
  <w:abstractNum w:abstractNumId="9" w15:restartNumberingAfterBreak="0">
    <w:nsid w:val="6106620B"/>
    <w:multiLevelType w:val="hybridMultilevel"/>
    <w:tmpl w:val="4CFA796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C694705"/>
    <w:multiLevelType w:val="hybridMultilevel"/>
    <w:tmpl w:val="9B847FFA"/>
    <w:lvl w:ilvl="0" w:tplc="04EACA14">
      <w:start w:val="6"/>
      <w:numFmt w:val="decimal"/>
      <w:lvlText w:val="%1."/>
      <w:lvlJc w:val="left"/>
      <w:pPr>
        <w:ind w:left="360" w:hanging="360"/>
      </w:pPr>
      <w:rPr>
        <w:rFonts w:hint="default"/>
      </w:rPr>
    </w:lvl>
    <w:lvl w:ilvl="1" w:tplc="38090019" w:tentative="1">
      <w:start w:val="1"/>
      <w:numFmt w:val="lowerLetter"/>
      <w:lvlText w:val="%2."/>
      <w:lvlJc w:val="left"/>
      <w:pPr>
        <w:ind w:left="720" w:hanging="360"/>
      </w:pPr>
    </w:lvl>
    <w:lvl w:ilvl="2" w:tplc="3809001B" w:tentative="1">
      <w:start w:val="1"/>
      <w:numFmt w:val="lowerRoman"/>
      <w:lvlText w:val="%3."/>
      <w:lvlJc w:val="right"/>
      <w:pPr>
        <w:ind w:left="1440" w:hanging="180"/>
      </w:pPr>
    </w:lvl>
    <w:lvl w:ilvl="3" w:tplc="3809000F" w:tentative="1">
      <w:start w:val="1"/>
      <w:numFmt w:val="decimal"/>
      <w:lvlText w:val="%4."/>
      <w:lvlJc w:val="left"/>
      <w:pPr>
        <w:ind w:left="2160" w:hanging="360"/>
      </w:pPr>
    </w:lvl>
    <w:lvl w:ilvl="4" w:tplc="38090019" w:tentative="1">
      <w:start w:val="1"/>
      <w:numFmt w:val="lowerLetter"/>
      <w:lvlText w:val="%5."/>
      <w:lvlJc w:val="left"/>
      <w:pPr>
        <w:ind w:left="2880" w:hanging="360"/>
      </w:pPr>
    </w:lvl>
    <w:lvl w:ilvl="5" w:tplc="3809001B" w:tentative="1">
      <w:start w:val="1"/>
      <w:numFmt w:val="lowerRoman"/>
      <w:lvlText w:val="%6."/>
      <w:lvlJc w:val="right"/>
      <w:pPr>
        <w:ind w:left="3600" w:hanging="180"/>
      </w:pPr>
    </w:lvl>
    <w:lvl w:ilvl="6" w:tplc="3809000F" w:tentative="1">
      <w:start w:val="1"/>
      <w:numFmt w:val="decimal"/>
      <w:lvlText w:val="%7."/>
      <w:lvlJc w:val="left"/>
      <w:pPr>
        <w:ind w:left="4320" w:hanging="360"/>
      </w:pPr>
    </w:lvl>
    <w:lvl w:ilvl="7" w:tplc="38090019" w:tentative="1">
      <w:start w:val="1"/>
      <w:numFmt w:val="lowerLetter"/>
      <w:lvlText w:val="%8."/>
      <w:lvlJc w:val="left"/>
      <w:pPr>
        <w:ind w:left="5040" w:hanging="360"/>
      </w:pPr>
    </w:lvl>
    <w:lvl w:ilvl="8" w:tplc="3809001B" w:tentative="1">
      <w:start w:val="1"/>
      <w:numFmt w:val="lowerRoman"/>
      <w:lvlText w:val="%9."/>
      <w:lvlJc w:val="right"/>
      <w:pPr>
        <w:ind w:left="5760" w:hanging="180"/>
      </w:pPr>
    </w:lvl>
  </w:abstractNum>
  <w:abstractNum w:abstractNumId="11" w15:restartNumberingAfterBreak="0">
    <w:nsid w:val="7E986E9A"/>
    <w:multiLevelType w:val="hybridMultilevel"/>
    <w:tmpl w:val="44FE4300"/>
    <w:lvl w:ilvl="0" w:tplc="E6746E46">
      <w:start w:val="4"/>
      <w:numFmt w:val="decimal"/>
      <w:lvlText w:val="%1."/>
      <w:lvlJc w:val="left"/>
      <w:pPr>
        <w:ind w:left="1080" w:hanging="360"/>
      </w:pPr>
      <w:rPr>
        <w:rFonts w:hint="default"/>
      </w:rPr>
    </w:lvl>
    <w:lvl w:ilvl="1" w:tplc="38090019" w:tentative="1">
      <w:start w:val="1"/>
      <w:numFmt w:val="lowerLetter"/>
      <w:lvlText w:val="%2."/>
      <w:lvlJc w:val="left"/>
      <w:pPr>
        <w:ind w:left="1083" w:hanging="360"/>
      </w:pPr>
    </w:lvl>
    <w:lvl w:ilvl="2" w:tplc="3809001B" w:tentative="1">
      <w:start w:val="1"/>
      <w:numFmt w:val="lowerRoman"/>
      <w:lvlText w:val="%3."/>
      <w:lvlJc w:val="right"/>
      <w:pPr>
        <w:ind w:left="1803" w:hanging="180"/>
      </w:pPr>
    </w:lvl>
    <w:lvl w:ilvl="3" w:tplc="3809000F" w:tentative="1">
      <w:start w:val="1"/>
      <w:numFmt w:val="decimal"/>
      <w:lvlText w:val="%4."/>
      <w:lvlJc w:val="left"/>
      <w:pPr>
        <w:ind w:left="2523" w:hanging="360"/>
      </w:pPr>
    </w:lvl>
    <w:lvl w:ilvl="4" w:tplc="38090019" w:tentative="1">
      <w:start w:val="1"/>
      <w:numFmt w:val="lowerLetter"/>
      <w:lvlText w:val="%5."/>
      <w:lvlJc w:val="left"/>
      <w:pPr>
        <w:ind w:left="3243" w:hanging="360"/>
      </w:pPr>
    </w:lvl>
    <w:lvl w:ilvl="5" w:tplc="3809001B" w:tentative="1">
      <w:start w:val="1"/>
      <w:numFmt w:val="lowerRoman"/>
      <w:lvlText w:val="%6."/>
      <w:lvlJc w:val="right"/>
      <w:pPr>
        <w:ind w:left="3963" w:hanging="180"/>
      </w:pPr>
    </w:lvl>
    <w:lvl w:ilvl="6" w:tplc="3809000F" w:tentative="1">
      <w:start w:val="1"/>
      <w:numFmt w:val="decimal"/>
      <w:lvlText w:val="%7."/>
      <w:lvlJc w:val="left"/>
      <w:pPr>
        <w:ind w:left="4683" w:hanging="360"/>
      </w:pPr>
    </w:lvl>
    <w:lvl w:ilvl="7" w:tplc="38090019" w:tentative="1">
      <w:start w:val="1"/>
      <w:numFmt w:val="lowerLetter"/>
      <w:lvlText w:val="%8."/>
      <w:lvlJc w:val="left"/>
      <w:pPr>
        <w:ind w:left="5403" w:hanging="360"/>
      </w:pPr>
    </w:lvl>
    <w:lvl w:ilvl="8" w:tplc="3809001B" w:tentative="1">
      <w:start w:val="1"/>
      <w:numFmt w:val="lowerRoman"/>
      <w:lvlText w:val="%9."/>
      <w:lvlJc w:val="right"/>
      <w:pPr>
        <w:ind w:left="6123" w:hanging="180"/>
      </w:pPr>
    </w:lvl>
  </w:abstractNum>
  <w:num w:numId="1" w16cid:durableId="1893074316">
    <w:abstractNumId w:val="1"/>
  </w:num>
  <w:num w:numId="2" w16cid:durableId="1475562201">
    <w:abstractNumId w:val="4"/>
  </w:num>
  <w:num w:numId="3" w16cid:durableId="683702242">
    <w:abstractNumId w:val="8"/>
  </w:num>
  <w:num w:numId="4" w16cid:durableId="2107266016">
    <w:abstractNumId w:val="7"/>
  </w:num>
  <w:num w:numId="5" w16cid:durableId="1582568748">
    <w:abstractNumId w:val="0"/>
  </w:num>
  <w:num w:numId="6" w16cid:durableId="1944339143">
    <w:abstractNumId w:val="3"/>
  </w:num>
  <w:num w:numId="7" w16cid:durableId="442454466">
    <w:abstractNumId w:val="9"/>
  </w:num>
  <w:num w:numId="8" w16cid:durableId="1835798513">
    <w:abstractNumId w:val="5"/>
  </w:num>
  <w:num w:numId="9" w16cid:durableId="1960601397">
    <w:abstractNumId w:val="2"/>
  </w:num>
  <w:num w:numId="10" w16cid:durableId="184440520">
    <w:abstractNumId w:val="11"/>
  </w:num>
  <w:num w:numId="11" w16cid:durableId="716274207">
    <w:abstractNumId w:val="6"/>
  </w:num>
  <w:num w:numId="12" w16cid:durableId="19373989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31A"/>
    <w:rsid w:val="00297067"/>
    <w:rsid w:val="00921A49"/>
    <w:rsid w:val="00B9031A"/>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B8EF2"/>
  <w15:chartTrackingRefBased/>
  <w15:docId w15:val="{2DE8ECF4-5750-484D-9C6C-661E7EE6E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03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03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03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03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03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03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03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03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03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03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03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03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03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03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03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03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03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031A"/>
    <w:rPr>
      <w:rFonts w:eastAsiaTheme="majorEastAsia" w:cstheme="majorBidi"/>
      <w:color w:val="272727" w:themeColor="text1" w:themeTint="D8"/>
    </w:rPr>
  </w:style>
  <w:style w:type="paragraph" w:styleId="Title">
    <w:name w:val="Title"/>
    <w:basedOn w:val="Normal"/>
    <w:next w:val="Normal"/>
    <w:link w:val="TitleChar"/>
    <w:uiPriority w:val="10"/>
    <w:qFormat/>
    <w:rsid w:val="00B903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03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03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03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031A"/>
    <w:pPr>
      <w:spacing w:before="160"/>
      <w:jc w:val="center"/>
    </w:pPr>
    <w:rPr>
      <w:i/>
      <w:iCs/>
      <w:color w:val="404040" w:themeColor="text1" w:themeTint="BF"/>
    </w:rPr>
  </w:style>
  <w:style w:type="character" w:customStyle="1" w:styleId="QuoteChar">
    <w:name w:val="Quote Char"/>
    <w:basedOn w:val="DefaultParagraphFont"/>
    <w:link w:val="Quote"/>
    <w:uiPriority w:val="29"/>
    <w:rsid w:val="00B9031A"/>
    <w:rPr>
      <w:i/>
      <w:iCs/>
      <w:color w:val="404040" w:themeColor="text1" w:themeTint="BF"/>
    </w:rPr>
  </w:style>
  <w:style w:type="paragraph" w:styleId="ListParagraph">
    <w:name w:val="List Paragraph"/>
    <w:basedOn w:val="Normal"/>
    <w:uiPriority w:val="34"/>
    <w:qFormat/>
    <w:rsid w:val="00B9031A"/>
    <w:pPr>
      <w:ind w:left="720"/>
      <w:contextualSpacing/>
    </w:pPr>
  </w:style>
  <w:style w:type="character" w:styleId="IntenseEmphasis">
    <w:name w:val="Intense Emphasis"/>
    <w:basedOn w:val="DefaultParagraphFont"/>
    <w:uiPriority w:val="21"/>
    <w:qFormat/>
    <w:rsid w:val="00B9031A"/>
    <w:rPr>
      <w:i/>
      <w:iCs/>
      <w:color w:val="0F4761" w:themeColor="accent1" w:themeShade="BF"/>
    </w:rPr>
  </w:style>
  <w:style w:type="paragraph" w:styleId="IntenseQuote">
    <w:name w:val="Intense Quote"/>
    <w:basedOn w:val="Normal"/>
    <w:next w:val="Normal"/>
    <w:link w:val="IntenseQuoteChar"/>
    <w:uiPriority w:val="30"/>
    <w:qFormat/>
    <w:rsid w:val="00B903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031A"/>
    <w:rPr>
      <w:i/>
      <w:iCs/>
      <w:color w:val="0F4761" w:themeColor="accent1" w:themeShade="BF"/>
    </w:rPr>
  </w:style>
  <w:style w:type="character" w:styleId="IntenseReference">
    <w:name w:val="Intense Reference"/>
    <w:basedOn w:val="DefaultParagraphFont"/>
    <w:uiPriority w:val="32"/>
    <w:qFormat/>
    <w:rsid w:val="00B9031A"/>
    <w:rPr>
      <w:b/>
      <w:bCs/>
      <w:smallCaps/>
      <w:color w:val="0F4761" w:themeColor="accent1" w:themeShade="BF"/>
      <w:spacing w:val="5"/>
    </w:rPr>
  </w:style>
  <w:style w:type="paragraph" w:styleId="Header">
    <w:name w:val="header"/>
    <w:basedOn w:val="Normal"/>
    <w:link w:val="HeaderChar"/>
    <w:uiPriority w:val="99"/>
    <w:unhideWhenUsed/>
    <w:rsid w:val="00B903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31A"/>
  </w:style>
  <w:style w:type="paragraph" w:styleId="Footer">
    <w:name w:val="footer"/>
    <w:basedOn w:val="Normal"/>
    <w:link w:val="FooterChar"/>
    <w:uiPriority w:val="99"/>
    <w:unhideWhenUsed/>
    <w:rsid w:val="00B903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3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28</Pages>
  <Words>10125</Words>
  <Characters>57718</Characters>
  <Application>Microsoft Office Word</Application>
  <DocSecurity>0</DocSecurity>
  <Lines>480</Lines>
  <Paragraphs>135</Paragraphs>
  <ScaleCrop>false</ScaleCrop>
  <Company/>
  <LinksUpToDate>false</LinksUpToDate>
  <CharactersWithSpaces>67708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muhammadiqbalsaputra03@gmail.com</dc:creator>
  <cp:keywords/>
  <dc:description/>
  <cp:lastModifiedBy>muhammadiqbalsaputra03@gmail.com</cp:lastModifiedBy>
  <cp:revision>1</cp:revision>
  <cp:lastPrinted>2025-09-29T12:51:00Z</cp:lastPrinted>
  <dcterms:created xsi:type="dcterms:W3CDTF">2025-09-29T12:44:00Z</dcterms:created>
  <dcterms:modified xsi:type="dcterms:W3CDTF">2025-09-29T12:51:00Z</dcterms:modified>
</cp:coreProperties>
</file>